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7C" w:rsidRDefault="002A547C" w:rsidP="00883328">
      <w:pPr>
        <w:shd w:val="clear" w:color="auto" w:fill="FFFFFF"/>
        <w:spacing w:line="345" w:lineRule="atLeast"/>
        <w:ind w:firstLine="709"/>
        <w:jc w:val="both"/>
        <w:textAlignment w:val="top"/>
      </w:pPr>
      <w:r>
        <w:t>О недопущении</w:t>
      </w:r>
      <w:r>
        <w:t xml:space="preserve"> аварий, инцидентов и несчастных случаев при эксплуатации аттракционов</w:t>
      </w:r>
    </w:p>
    <w:p w:rsidR="002A547C" w:rsidRDefault="002A547C" w:rsidP="00883328">
      <w:pPr>
        <w:shd w:val="clear" w:color="auto" w:fill="FFFFFF"/>
        <w:spacing w:line="345" w:lineRule="atLeast"/>
        <w:ind w:firstLine="709"/>
        <w:jc w:val="both"/>
        <w:textAlignment w:val="top"/>
      </w:pPr>
    </w:p>
    <w:p w:rsidR="00883328" w:rsidRPr="00C22DBC" w:rsidRDefault="00883328" w:rsidP="00883328">
      <w:pPr>
        <w:shd w:val="clear" w:color="auto" w:fill="FFFFFF"/>
        <w:spacing w:line="345" w:lineRule="atLeast"/>
        <w:ind w:firstLine="709"/>
        <w:jc w:val="both"/>
        <w:textAlignment w:val="top"/>
      </w:pPr>
      <w:r w:rsidRPr="00C22DBC">
        <w:t xml:space="preserve">Согласно информации из сети Интернет 6 мая 2023 года </w:t>
      </w:r>
      <w:r w:rsidR="00E402FC">
        <w:br/>
      </w:r>
      <w:r w:rsidRPr="008D0CEB">
        <w:t xml:space="preserve">в </w:t>
      </w:r>
      <w:r w:rsidRPr="00C22DBC">
        <w:t xml:space="preserve">Оренбурге в </w:t>
      </w:r>
      <w:r w:rsidRPr="00C22DBC">
        <w:rPr>
          <w:shd w:val="clear" w:color="auto" w:fill="FFFFFF"/>
        </w:rPr>
        <w:t xml:space="preserve">парке </w:t>
      </w:r>
      <w:r w:rsidR="00E402FC">
        <w:rPr>
          <w:shd w:val="clear" w:color="auto" w:fill="FFFFFF"/>
        </w:rPr>
        <w:t>«И</w:t>
      </w:r>
      <w:r w:rsidRPr="00C22DBC">
        <w:rPr>
          <w:shd w:val="clear" w:color="auto" w:fill="FFFFFF"/>
        </w:rPr>
        <w:t>мени 50 лет СССР</w:t>
      </w:r>
      <w:r w:rsidR="00E402FC">
        <w:rPr>
          <w:shd w:val="clear" w:color="auto" w:fill="FFFFFF"/>
        </w:rPr>
        <w:t>»</w:t>
      </w:r>
      <w:r w:rsidRPr="00C22DBC">
        <w:rPr>
          <w:shd w:val="clear" w:color="auto" w:fill="FFFFFF"/>
        </w:rPr>
        <w:t xml:space="preserve"> (</w:t>
      </w:r>
      <w:r w:rsidR="004B4288">
        <w:rPr>
          <w:shd w:val="clear" w:color="auto" w:fill="FFFFFF"/>
        </w:rPr>
        <w:t>"</w:t>
      </w:r>
      <w:proofErr w:type="spellStart"/>
      <w:r w:rsidRPr="00C22DBC">
        <w:rPr>
          <w:shd w:val="clear" w:color="auto" w:fill="FFFFFF"/>
        </w:rPr>
        <w:t>Оренпарк</w:t>
      </w:r>
      <w:proofErr w:type="spellEnd"/>
      <w:r w:rsidRPr="00C22DBC">
        <w:rPr>
          <w:shd w:val="clear" w:color="auto" w:fill="FFFFFF"/>
        </w:rPr>
        <w:t>")</w:t>
      </w:r>
      <w:r w:rsidR="004B4288">
        <w:rPr>
          <w:shd w:val="clear" w:color="auto" w:fill="FFFFFF"/>
        </w:rPr>
        <w:t xml:space="preserve"> </w:t>
      </w:r>
      <w:r>
        <w:t xml:space="preserve">(Российская Федерация) </w:t>
      </w:r>
      <w:r w:rsidRPr="008D0CEB">
        <w:t>произошла</w:t>
      </w:r>
      <w:r w:rsidRPr="00C22DBC">
        <w:t xml:space="preserve"> авария с аттракционом типа «цепочная карусель» </w:t>
      </w:r>
      <w:r>
        <w:t>(далее – Аттракцион)</w:t>
      </w:r>
      <w:r w:rsidRPr="00C22DBC">
        <w:t>.</w:t>
      </w:r>
    </w:p>
    <w:p w:rsidR="00883328" w:rsidRDefault="00883328" w:rsidP="00D23CB8">
      <w:pPr>
        <w:shd w:val="clear" w:color="auto" w:fill="FFFFFF"/>
        <w:spacing w:line="345" w:lineRule="atLeast"/>
        <w:ind w:firstLine="709"/>
        <w:jc w:val="both"/>
        <w:textAlignment w:val="top"/>
      </w:pPr>
      <w:r>
        <w:t>Из видеокадров, выложенных в сети Интернет</w:t>
      </w:r>
      <w:r w:rsidR="00D1229C">
        <w:t>,</w:t>
      </w:r>
      <w:r>
        <w:t xml:space="preserve"> видно, что п</w:t>
      </w:r>
      <w:r w:rsidRPr="00C22DBC">
        <w:t xml:space="preserve">еред крушением </w:t>
      </w:r>
      <w:r>
        <w:t>Аттракцион</w:t>
      </w:r>
      <w:r w:rsidRPr="00C22DBC">
        <w:t xml:space="preserve"> успел развить значительную скорость, после чего </w:t>
      </w:r>
      <w:r w:rsidR="00D23CB8">
        <w:t xml:space="preserve">вертикальная выдвижная колонна резко опустилась вниз, в результате чего сидения </w:t>
      </w:r>
      <w:r w:rsidRPr="00B4144E">
        <w:t>на цепочках</w:t>
      </w:r>
      <w:r w:rsidR="00D23CB8">
        <w:t xml:space="preserve"> (пассажирские модули) с находившимися на них пассажирами</w:t>
      </w:r>
      <w:r w:rsidR="005F125B">
        <w:t xml:space="preserve"> </w:t>
      </w:r>
      <w:r w:rsidR="00D23CB8">
        <w:t xml:space="preserve">упали </w:t>
      </w:r>
      <w:r w:rsidR="006E5E98">
        <w:t>на</w:t>
      </w:r>
      <w:r w:rsidRPr="00B4144E">
        <w:t xml:space="preserve"> землю.</w:t>
      </w:r>
      <w:r w:rsidR="005F125B">
        <w:t xml:space="preserve"> </w:t>
      </w:r>
      <w:r w:rsidR="00D23CB8">
        <w:t>П</w:t>
      </w:r>
      <w:r w:rsidRPr="008D0CEB">
        <w:t xml:space="preserve">острадало </w:t>
      </w:r>
      <w:r w:rsidR="00F21301">
        <w:t>приблизительно 19</w:t>
      </w:r>
      <w:r w:rsidRPr="008D0CEB">
        <w:t xml:space="preserve"> человек, </w:t>
      </w:r>
      <w:r w:rsidR="00F21301">
        <w:t xml:space="preserve">11 из которых госпитализированы, </w:t>
      </w:r>
      <w:r w:rsidRPr="008D0CEB">
        <w:t>в том</w:t>
      </w:r>
      <w:r w:rsidRPr="00B4144E">
        <w:t xml:space="preserve"> числе несовершеннолетние дети. </w:t>
      </w:r>
    </w:p>
    <w:p w:rsidR="00D23CB8" w:rsidRDefault="00D23CB8" w:rsidP="00883328">
      <w:pPr>
        <w:shd w:val="clear" w:color="auto" w:fill="FFFFFF"/>
        <w:spacing w:line="345" w:lineRule="atLeast"/>
        <w:ind w:firstLine="709"/>
        <w:jc w:val="both"/>
        <w:textAlignment w:val="top"/>
      </w:pPr>
      <w:r>
        <w:t xml:space="preserve">Официальная информация об изготовителе Аттракциона и возможных причинах </w:t>
      </w:r>
      <w:r w:rsidR="00F21301">
        <w:t xml:space="preserve">указанного </w:t>
      </w:r>
      <w:r>
        <w:t>прои</w:t>
      </w:r>
      <w:r w:rsidR="00F21301">
        <w:t xml:space="preserve">сшествия </w:t>
      </w:r>
      <w:r>
        <w:t>отсутствует.</w:t>
      </w:r>
    </w:p>
    <w:p w:rsidR="00E01277" w:rsidRDefault="00883328" w:rsidP="00E01277">
      <w:pPr>
        <w:shd w:val="clear" w:color="auto" w:fill="FFFFFF"/>
        <w:spacing w:line="345" w:lineRule="atLeast"/>
        <w:ind w:firstLine="709"/>
        <w:jc w:val="both"/>
        <w:textAlignment w:val="top"/>
      </w:pPr>
      <w:r>
        <w:t xml:space="preserve">В целях недопущения </w:t>
      </w:r>
      <w:r w:rsidR="00D23CB8">
        <w:t>аварий, инцидентов и несчастных случаев</w:t>
      </w:r>
      <w:r>
        <w:t xml:space="preserve"> при эксплуатации аттракционов типа</w:t>
      </w:r>
      <w:r w:rsidR="005F125B">
        <w:t xml:space="preserve"> </w:t>
      </w:r>
      <w:r w:rsidR="00D1229C">
        <w:t>«</w:t>
      </w:r>
      <w:r w:rsidR="00D23CB8">
        <w:t>цепочн</w:t>
      </w:r>
      <w:r w:rsidR="00D1229C">
        <w:t>ая</w:t>
      </w:r>
      <w:r w:rsidR="00D23CB8">
        <w:t xml:space="preserve"> карусел</w:t>
      </w:r>
      <w:r w:rsidR="00D1229C">
        <w:t>ь»</w:t>
      </w:r>
      <w:r w:rsidR="00E01277">
        <w:t xml:space="preserve"> необходимо </w:t>
      </w:r>
      <w:r w:rsidR="00D1229C">
        <w:t xml:space="preserve">в срок до 31.05.2023 </w:t>
      </w:r>
      <w:r w:rsidR="005F04DC">
        <w:t xml:space="preserve"> провести </w:t>
      </w:r>
      <w:r w:rsidR="00D1229C">
        <w:t>следующи</w:t>
      </w:r>
      <w:r w:rsidR="005F04DC">
        <w:t>е</w:t>
      </w:r>
      <w:r w:rsidR="00D1229C">
        <w:t xml:space="preserve"> мероприяти</w:t>
      </w:r>
      <w:r w:rsidR="005F04DC">
        <w:t>я</w:t>
      </w:r>
      <w:r w:rsidR="00E01277">
        <w:t>:</w:t>
      </w:r>
    </w:p>
    <w:p w:rsidR="00D1229C" w:rsidRDefault="005F04DC" w:rsidP="0061196F">
      <w:pPr>
        <w:pStyle w:val="a4"/>
        <w:numPr>
          <w:ilvl w:val="0"/>
          <w:numId w:val="7"/>
        </w:numPr>
        <w:shd w:val="clear" w:color="auto" w:fill="FFFFFF"/>
        <w:spacing w:line="345" w:lineRule="atLeast"/>
        <w:ind w:left="0" w:firstLine="709"/>
        <w:jc w:val="both"/>
        <w:textAlignment w:val="top"/>
      </w:pPr>
      <w:r>
        <w:t xml:space="preserve">провести </w:t>
      </w:r>
      <w:r w:rsidR="00F21301">
        <w:t>дополнительн</w:t>
      </w:r>
      <w:r>
        <w:t>ую</w:t>
      </w:r>
      <w:r w:rsidR="00F21301">
        <w:t xml:space="preserve"> </w:t>
      </w:r>
      <w:r w:rsidR="00E01277">
        <w:t>полн</w:t>
      </w:r>
      <w:r>
        <w:t>ую</w:t>
      </w:r>
      <w:r w:rsidR="00E01277">
        <w:t xml:space="preserve"> проверк</w:t>
      </w:r>
      <w:r>
        <w:t>у</w:t>
      </w:r>
      <w:r w:rsidR="00E01277">
        <w:t xml:space="preserve"> аттракционов типа </w:t>
      </w:r>
      <w:r w:rsidR="00D1229C">
        <w:t>«</w:t>
      </w:r>
      <w:r w:rsidR="00E01277">
        <w:t>цепочн</w:t>
      </w:r>
      <w:r w:rsidR="00D1229C">
        <w:t>ая</w:t>
      </w:r>
      <w:r w:rsidR="00E01277">
        <w:t xml:space="preserve"> карусел</w:t>
      </w:r>
      <w:r w:rsidR="00D1229C">
        <w:t>ь»</w:t>
      </w:r>
      <w:r w:rsidR="00E01277">
        <w:t xml:space="preserve"> в соответствии с требованиями </w:t>
      </w:r>
      <w:r w:rsidR="00D1229C">
        <w:t xml:space="preserve">пунктов 172, 178, 181 - 185, 187, 188 </w:t>
      </w:r>
      <w:r w:rsidR="00E01277">
        <w:t>главы 8 Правил по обеспечению промышленной безопасности аттракционов, утверждённых постановлением Министерства по чрезвычайным ситуациям Республики Беларусь от 27.12.2019 № 67</w:t>
      </w:r>
      <w:r w:rsidR="00D1229C">
        <w:t>;</w:t>
      </w:r>
    </w:p>
    <w:p w:rsidR="00D1229C" w:rsidRDefault="00E01277" w:rsidP="00D1229C">
      <w:pPr>
        <w:pStyle w:val="a4"/>
        <w:numPr>
          <w:ilvl w:val="0"/>
          <w:numId w:val="7"/>
        </w:numPr>
        <w:shd w:val="clear" w:color="auto" w:fill="FFFFFF"/>
        <w:spacing w:line="345" w:lineRule="atLeast"/>
        <w:ind w:left="0" w:firstLine="709"/>
        <w:jc w:val="both"/>
        <w:textAlignment w:val="top"/>
      </w:pPr>
      <w:r>
        <w:t>информ</w:t>
      </w:r>
      <w:r w:rsidR="00D1229C">
        <w:t>ирова</w:t>
      </w:r>
      <w:r w:rsidR="005F04DC">
        <w:t>ть</w:t>
      </w:r>
      <w:r>
        <w:t xml:space="preserve"> о результатах проверок </w:t>
      </w:r>
      <w:r w:rsidR="005F04DC">
        <w:t xml:space="preserve">Витебское областное управление </w:t>
      </w:r>
      <w:proofErr w:type="spellStart"/>
      <w:r w:rsidR="005F04DC">
        <w:t>Госпромнадзора</w:t>
      </w:r>
      <w:proofErr w:type="spellEnd"/>
      <w:r>
        <w:t xml:space="preserve"> в срок до </w:t>
      </w:r>
      <w:r w:rsidR="00D1229C">
        <w:t>0</w:t>
      </w:r>
      <w:r w:rsidR="00122930">
        <w:t>1</w:t>
      </w:r>
      <w:r>
        <w:t>.0</w:t>
      </w:r>
      <w:r w:rsidR="00D1229C">
        <w:t>6.2023</w:t>
      </w:r>
      <w:r w:rsidR="005F04DC">
        <w:t xml:space="preserve"> </w:t>
      </w:r>
      <w:r w:rsidR="00D1229C">
        <w:t>по форме:</w:t>
      </w:r>
    </w:p>
    <w:p w:rsidR="00D1229C" w:rsidRDefault="00D1229C" w:rsidP="00D1229C">
      <w:pPr>
        <w:shd w:val="clear" w:color="auto" w:fill="FFFFFF"/>
        <w:spacing w:line="345" w:lineRule="atLeast"/>
        <w:ind w:firstLine="709"/>
        <w:jc w:val="both"/>
        <w:textAlignment w:val="top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99"/>
        <w:gridCol w:w="902"/>
        <w:gridCol w:w="851"/>
        <w:gridCol w:w="992"/>
        <w:gridCol w:w="1701"/>
        <w:gridCol w:w="1559"/>
        <w:gridCol w:w="1276"/>
        <w:gridCol w:w="674"/>
      </w:tblGrid>
      <w:tr w:rsidR="00D1229C" w:rsidRPr="00F52F68" w:rsidTr="007D2E95">
        <w:trPr>
          <w:cantSplit/>
          <w:trHeight w:val="2428"/>
        </w:trPr>
        <w:tc>
          <w:tcPr>
            <w:tcW w:w="817" w:type="dxa"/>
            <w:textDirection w:val="btLr"/>
          </w:tcPr>
          <w:p w:rsidR="00D1229C" w:rsidRPr="00F52F68" w:rsidRDefault="00D1229C" w:rsidP="008C3B5D">
            <w:pPr>
              <w:spacing w:line="345" w:lineRule="atLeast"/>
              <w:ind w:left="113" w:right="113"/>
              <w:jc w:val="both"/>
              <w:textAlignment w:val="top"/>
              <w:rPr>
                <w:sz w:val="22"/>
                <w:szCs w:val="22"/>
              </w:rPr>
            </w:pPr>
            <w:r w:rsidRPr="00F52F68">
              <w:rPr>
                <w:sz w:val="22"/>
                <w:szCs w:val="22"/>
              </w:rPr>
              <w:t xml:space="preserve">Рег. номер в </w:t>
            </w:r>
            <w:proofErr w:type="spellStart"/>
            <w:r w:rsidRPr="00F52F68">
              <w:rPr>
                <w:sz w:val="22"/>
                <w:szCs w:val="22"/>
              </w:rPr>
              <w:t>Госпромнадзоре</w:t>
            </w:r>
            <w:proofErr w:type="spellEnd"/>
          </w:p>
        </w:tc>
        <w:tc>
          <w:tcPr>
            <w:tcW w:w="799" w:type="dxa"/>
            <w:textDirection w:val="btLr"/>
          </w:tcPr>
          <w:p w:rsidR="00D1229C" w:rsidRPr="00F52F68" w:rsidRDefault="00D1229C" w:rsidP="008C3B5D">
            <w:pPr>
              <w:spacing w:line="345" w:lineRule="atLeast"/>
              <w:ind w:left="113" w:right="113"/>
              <w:jc w:val="both"/>
              <w:textAlignment w:val="top"/>
              <w:rPr>
                <w:sz w:val="22"/>
                <w:szCs w:val="22"/>
              </w:rPr>
            </w:pPr>
            <w:r w:rsidRPr="00F52F68">
              <w:rPr>
                <w:sz w:val="22"/>
                <w:szCs w:val="22"/>
              </w:rPr>
              <w:t>Наименование аттракциона</w:t>
            </w:r>
          </w:p>
        </w:tc>
        <w:tc>
          <w:tcPr>
            <w:tcW w:w="902" w:type="dxa"/>
            <w:textDirection w:val="btLr"/>
          </w:tcPr>
          <w:p w:rsidR="00D1229C" w:rsidRPr="00F52F68" w:rsidRDefault="00D1229C" w:rsidP="008C3B5D">
            <w:pPr>
              <w:spacing w:line="345" w:lineRule="atLeast"/>
              <w:ind w:left="113" w:right="113"/>
              <w:jc w:val="both"/>
              <w:textAlignment w:val="top"/>
              <w:rPr>
                <w:sz w:val="22"/>
                <w:szCs w:val="22"/>
              </w:rPr>
            </w:pPr>
            <w:r w:rsidRPr="00F52F68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851" w:type="dxa"/>
            <w:textDirection w:val="btLr"/>
          </w:tcPr>
          <w:p w:rsidR="00D1229C" w:rsidRPr="00F52F68" w:rsidRDefault="00D1229C" w:rsidP="008C3B5D">
            <w:pPr>
              <w:spacing w:line="345" w:lineRule="atLeast"/>
              <w:ind w:left="113" w:right="113"/>
              <w:jc w:val="both"/>
              <w:textAlignment w:val="top"/>
              <w:rPr>
                <w:sz w:val="22"/>
                <w:szCs w:val="22"/>
              </w:rPr>
            </w:pPr>
            <w:r w:rsidRPr="00F52F68">
              <w:rPr>
                <w:sz w:val="22"/>
                <w:szCs w:val="22"/>
              </w:rPr>
              <w:t xml:space="preserve">Наименование </w:t>
            </w:r>
            <w:proofErr w:type="spellStart"/>
            <w:r>
              <w:rPr>
                <w:sz w:val="22"/>
                <w:szCs w:val="22"/>
              </w:rPr>
              <w:t>эксплуатанта</w:t>
            </w:r>
            <w:proofErr w:type="spellEnd"/>
          </w:p>
        </w:tc>
        <w:tc>
          <w:tcPr>
            <w:tcW w:w="992" w:type="dxa"/>
            <w:textDirection w:val="btLr"/>
          </w:tcPr>
          <w:p w:rsidR="00D1229C" w:rsidRPr="00F52F68" w:rsidRDefault="00D1229C" w:rsidP="008C3B5D">
            <w:pPr>
              <w:spacing w:line="345" w:lineRule="atLeast"/>
              <w:ind w:left="113" w:right="113"/>
              <w:jc w:val="both"/>
              <w:textAlignment w:val="top"/>
              <w:rPr>
                <w:sz w:val="22"/>
                <w:szCs w:val="22"/>
              </w:rPr>
            </w:pPr>
            <w:r w:rsidRPr="00F52F68">
              <w:rPr>
                <w:sz w:val="22"/>
                <w:szCs w:val="22"/>
              </w:rPr>
              <w:t>Год изготовления /ввода в эксплуатацию</w:t>
            </w:r>
          </w:p>
        </w:tc>
        <w:tc>
          <w:tcPr>
            <w:tcW w:w="1701" w:type="dxa"/>
            <w:textDirection w:val="btLr"/>
          </w:tcPr>
          <w:p w:rsidR="00D1229C" w:rsidRPr="00F52F68" w:rsidRDefault="00D1229C" w:rsidP="008C3B5D">
            <w:pPr>
              <w:spacing w:line="345" w:lineRule="atLeast"/>
              <w:ind w:left="113" w:right="113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результаты проведения технического диагностирования*</w:t>
            </w:r>
          </w:p>
        </w:tc>
        <w:tc>
          <w:tcPr>
            <w:tcW w:w="1559" w:type="dxa"/>
            <w:textDirection w:val="btLr"/>
          </w:tcPr>
          <w:p w:rsidR="00D1229C" w:rsidRPr="00F52F68" w:rsidRDefault="00D1229C" w:rsidP="008C3B5D">
            <w:pPr>
              <w:spacing w:line="345" w:lineRule="atLeast"/>
              <w:ind w:left="113" w:right="113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результаты проведения технического освидетельствования*</w:t>
            </w:r>
          </w:p>
        </w:tc>
        <w:tc>
          <w:tcPr>
            <w:tcW w:w="1276" w:type="dxa"/>
            <w:textDirection w:val="btLr"/>
          </w:tcPr>
          <w:p w:rsidR="00D1229C" w:rsidRPr="00F52F68" w:rsidRDefault="00D1229C" w:rsidP="008C3B5D">
            <w:pPr>
              <w:spacing w:line="345" w:lineRule="atLeast"/>
              <w:ind w:left="113" w:right="113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результаты проведения полной проверки*</w:t>
            </w:r>
          </w:p>
        </w:tc>
        <w:tc>
          <w:tcPr>
            <w:tcW w:w="674" w:type="dxa"/>
            <w:textDirection w:val="btLr"/>
          </w:tcPr>
          <w:p w:rsidR="00D1229C" w:rsidRDefault="00D1229C" w:rsidP="008C3B5D">
            <w:pPr>
              <w:spacing w:line="345" w:lineRule="atLeast"/>
              <w:ind w:left="113" w:right="113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Примечание**</w:t>
            </w:r>
          </w:p>
        </w:tc>
      </w:tr>
      <w:tr w:rsidR="00D1229C" w:rsidRPr="007B588E" w:rsidTr="007D2E95">
        <w:tc>
          <w:tcPr>
            <w:tcW w:w="817" w:type="dxa"/>
          </w:tcPr>
          <w:p w:rsidR="00D1229C" w:rsidRPr="007B588E" w:rsidRDefault="00D1229C" w:rsidP="008C3B5D">
            <w:pPr>
              <w:spacing w:line="345" w:lineRule="atLeast"/>
              <w:jc w:val="center"/>
              <w:textAlignment w:val="top"/>
              <w:rPr>
                <w:sz w:val="22"/>
                <w:szCs w:val="22"/>
              </w:rPr>
            </w:pPr>
            <w:r w:rsidRPr="007B588E"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</w:tcPr>
          <w:p w:rsidR="00D1229C" w:rsidRPr="007B588E" w:rsidRDefault="00D1229C" w:rsidP="008C3B5D">
            <w:pPr>
              <w:spacing w:line="345" w:lineRule="atLeast"/>
              <w:jc w:val="center"/>
              <w:textAlignment w:val="top"/>
              <w:rPr>
                <w:sz w:val="22"/>
                <w:szCs w:val="22"/>
              </w:rPr>
            </w:pPr>
            <w:r w:rsidRPr="007B588E">
              <w:rPr>
                <w:sz w:val="22"/>
                <w:szCs w:val="22"/>
              </w:rPr>
              <w:t>2</w:t>
            </w:r>
          </w:p>
        </w:tc>
        <w:tc>
          <w:tcPr>
            <w:tcW w:w="902" w:type="dxa"/>
          </w:tcPr>
          <w:p w:rsidR="00D1229C" w:rsidRPr="007B588E" w:rsidRDefault="00D1229C" w:rsidP="008C3B5D">
            <w:pPr>
              <w:spacing w:line="345" w:lineRule="atLeast"/>
              <w:jc w:val="center"/>
              <w:textAlignment w:val="top"/>
              <w:rPr>
                <w:sz w:val="22"/>
                <w:szCs w:val="22"/>
              </w:rPr>
            </w:pPr>
            <w:r w:rsidRPr="007B588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1229C" w:rsidRPr="007B588E" w:rsidRDefault="00D1229C" w:rsidP="008C3B5D">
            <w:pPr>
              <w:spacing w:line="345" w:lineRule="atLeast"/>
              <w:jc w:val="center"/>
              <w:textAlignment w:val="top"/>
              <w:rPr>
                <w:sz w:val="22"/>
                <w:szCs w:val="22"/>
              </w:rPr>
            </w:pPr>
            <w:r w:rsidRPr="007B588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1229C" w:rsidRPr="007B588E" w:rsidRDefault="00D1229C" w:rsidP="008C3B5D">
            <w:pPr>
              <w:spacing w:line="345" w:lineRule="atLeast"/>
              <w:jc w:val="center"/>
              <w:textAlignment w:val="top"/>
              <w:rPr>
                <w:sz w:val="22"/>
                <w:szCs w:val="22"/>
              </w:rPr>
            </w:pPr>
            <w:r w:rsidRPr="007B588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1229C" w:rsidRPr="007B588E" w:rsidRDefault="00D1229C" w:rsidP="008C3B5D">
            <w:pPr>
              <w:spacing w:line="345" w:lineRule="atLeast"/>
              <w:jc w:val="center"/>
              <w:textAlignment w:val="top"/>
              <w:rPr>
                <w:sz w:val="22"/>
                <w:szCs w:val="22"/>
              </w:rPr>
            </w:pPr>
            <w:r w:rsidRPr="007B588E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D1229C" w:rsidRPr="007B588E" w:rsidRDefault="00D1229C" w:rsidP="008C3B5D">
            <w:pPr>
              <w:spacing w:line="345" w:lineRule="atLeast"/>
              <w:jc w:val="center"/>
              <w:textAlignment w:val="top"/>
              <w:rPr>
                <w:sz w:val="22"/>
                <w:szCs w:val="22"/>
              </w:rPr>
            </w:pPr>
            <w:r w:rsidRPr="007B588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D1229C" w:rsidRPr="007B588E" w:rsidRDefault="00D1229C" w:rsidP="008C3B5D">
            <w:pPr>
              <w:spacing w:line="345" w:lineRule="atLeast"/>
              <w:jc w:val="center"/>
              <w:textAlignment w:val="top"/>
              <w:rPr>
                <w:sz w:val="22"/>
                <w:szCs w:val="22"/>
              </w:rPr>
            </w:pPr>
            <w:r w:rsidRPr="007B588E">
              <w:rPr>
                <w:sz w:val="22"/>
                <w:szCs w:val="22"/>
              </w:rPr>
              <w:t>8</w:t>
            </w:r>
          </w:p>
        </w:tc>
        <w:tc>
          <w:tcPr>
            <w:tcW w:w="674" w:type="dxa"/>
          </w:tcPr>
          <w:p w:rsidR="00D1229C" w:rsidRPr="007B588E" w:rsidRDefault="00D1229C" w:rsidP="008C3B5D">
            <w:pPr>
              <w:spacing w:line="345" w:lineRule="atLeast"/>
              <w:jc w:val="center"/>
              <w:textAlignment w:val="top"/>
              <w:rPr>
                <w:sz w:val="22"/>
                <w:szCs w:val="22"/>
              </w:rPr>
            </w:pPr>
            <w:r w:rsidRPr="007B588E">
              <w:rPr>
                <w:sz w:val="22"/>
                <w:szCs w:val="22"/>
              </w:rPr>
              <w:t>9</w:t>
            </w:r>
          </w:p>
        </w:tc>
      </w:tr>
      <w:tr w:rsidR="00D1229C" w:rsidTr="007D2E95">
        <w:tc>
          <w:tcPr>
            <w:tcW w:w="817" w:type="dxa"/>
          </w:tcPr>
          <w:p w:rsidR="00D1229C" w:rsidRDefault="00D1229C" w:rsidP="008C3B5D">
            <w:pPr>
              <w:spacing w:line="345" w:lineRule="atLeast"/>
              <w:jc w:val="both"/>
              <w:textAlignment w:val="top"/>
            </w:pPr>
          </w:p>
        </w:tc>
        <w:tc>
          <w:tcPr>
            <w:tcW w:w="799" w:type="dxa"/>
          </w:tcPr>
          <w:p w:rsidR="00D1229C" w:rsidRDefault="00D1229C" w:rsidP="008C3B5D">
            <w:pPr>
              <w:spacing w:line="345" w:lineRule="atLeast"/>
              <w:jc w:val="both"/>
              <w:textAlignment w:val="top"/>
            </w:pPr>
          </w:p>
        </w:tc>
        <w:tc>
          <w:tcPr>
            <w:tcW w:w="902" w:type="dxa"/>
          </w:tcPr>
          <w:p w:rsidR="00D1229C" w:rsidRDefault="00D1229C" w:rsidP="008C3B5D">
            <w:pPr>
              <w:spacing w:line="345" w:lineRule="atLeast"/>
              <w:jc w:val="both"/>
              <w:textAlignment w:val="top"/>
            </w:pPr>
          </w:p>
        </w:tc>
        <w:tc>
          <w:tcPr>
            <w:tcW w:w="851" w:type="dxa"/>
          </w:tcPr>
          <w:p w:rsidR="00D1229C" w:rsidRDefault="00D1229C" w:rsidP="008C3B5D">
            <w:pPr>
              <w:spacing w:line="345" w:lineRule="atLeast"/>
              <w:jc w:val="both"/>
              <w:textAlignment w:val="top"/>
            </w:pPr>
          </w:p>
        </w:tc>
        <w:tc>
          <w:tcPr>
            <w:tcW w:w="992" w:type="dxa"/>
          </w:tcPr>
          <w:p w:rsidR="00D1229C" w:rsidRDefault="00D1229C" w:rsidP="008C3B5D">
            <w:pPr>
              <w:spacing w:line="345" w:lineRule="atLeast"/>
              <w:jc w:val="both"/>
              <w:textAlignment w:val="top"/>
            </w:pPr>
          </w:p>
        </w:tc>
        <w:tc>
          <w:tcPr>
            <w:tcW w:w="1701" w:type="dxa"/>
          </w:tcPr>
          <w:p w:rsidR="00D1229C" w:rsidRDefault="00D1229C" w:rsidP="008C3B5D">
            <w:pPr>
              <w:spacing w:line="345" w:lineRule="atLeast"/>
              <w:jc w:val="both"/>
              <w:textAlignment w:val="top"/>
            </w:pPr>
          </w:p>
        </w:tc>
        <w:tc>
          <w:tcPr>
            <w:tcW w:w="1559" w:type="dxa"/>
          </w:tcPr>
          <w:p w:rsidR="00D1229C" w:rsidRDefault="00D1229C" w:rsidP="008C3B5D">
            <w:pPr>
              <w:spacing w:line="345" w:lineRule="atLeast"/>
              <w:jc w:val="both"/>
              <w:textAlignment w:val="top"/>
            </w:pPr>
          </w:p>
        </w:tc>
        <w:tc>
          <w:tcPr>
            <w:tcW w:w="1276" w:type="dxa"/>
          </w:tcPr>
          <w:p w:rsidR="00D1229C" w:rsidRDefault="00D1229C" w:rsidP="008C3B5D">
            <w:pPr>
              <w:spacing w:line="345" w:lineRule="atLeast"/>
              <w:jc w:val="both"/>
              <w:textAlignment w:val="top"/>
            </w:pPr>
          </w:p>
        </w:tc>
        <w:tc>
          <w:tcPr>
            <w:tcW w:w="674" w:type="dxa"/>
          </w:tcPr>
          <w:p w:rsidR="00D1229C" w:rsidRDefault="00D1229C" w:rsidP="008C3B5D">
            <w:pPr>
              <w:spacing w:line="345" w:lineRule="atLeast"/>
              <w:jc w:val="both"/>
              <w:textAlignment w:val="top"/>
            </w:pPr>
          </w:p>
        </w:tc>
      </w:tr>
    </w:tbl>
    <w:p w:rsidR="00D1229C" w:rsidRDefault="00D1229C" w:rsidP="00D1229C">
      <w:pPr>
        <w:shd w:val="clear" w:color="auto" w:fill="FFFFFF"/>
        <w:spacing w:line="345" w:lineRule="atLeast"/>
        <w:jc w:val="both"/>
        <w:textAlignment w:val="top"/>
      </w:pPr>
      <w:r>
        <w:t>* - указать «положительные» или «отрицательные»;</w:t>
      </w:r>
    </w:p>
    <w:p w:rsidR="00D1229C" w:rsidRDefault="00D1229C" w:rsidP="00D1229C">
      <w:pPr>
        <w:shd w:val="clear" w:color="auto" w:fill="FFFFFF"/>
        <w:spacing w:line="345" w:lineRule="atLeast"/>
        <w:jc w:val="both"/>
        <w:textAlignment w:val="top"/>
      </w:pPr>
      <w:r>
        <w:t>** - в случае отрицательных результатов и в случаях приостановки эксплуатации (использования по назначению) указать причины.</w:t>
      </w:r>
    </w:p>
    <w:p w:rsidR="008130DD" w:rsidRDefault="005F04DC" w:rsidP="008130DD">
      <w:pPr>
        <w:pStyle w:val="a4"/>
        <w:numPr>
          <w:ilvl w:val="0"/>
          <w:numId w:val="7"/>
        </w:numPr>
        <w:shd w:val="clear" w:color="auto" w:fill="FFFFFF"/>
        <w:spacing w:line="345" w:lineRule="atLeast"/>
        <w:ind w:left="0" w:firstLine="709"/>
        <w:jc w:val="both"/>
        <w:textAlignment w:val="top"/>
      </w:pPr>
      <w:proofErr w:type="gramStart"/>
      <w:r>
        <w:t xml:space="preserve">провести </w:t>
      </w:r>
      <w:r w:rsidR="00E01277">
        <w:t>внеочередны</w:t>
      </w:r>
      <w:r>
        <w:t>е</w:t>
      </w:r>
      <w:r w:rsidR="00E01277">
        <w:t xml:space="preserve"> инструктаж</w:t>
      </w:r>
      <w:r>
        <w:t>и</w:t>
      </w:r>
      <w:r w:rsidR="000910EE">
        <w:t xml:space="preserve"> с </w:t>
      </w:r>
      <w:r w:rsidR="008F3128">
        <w:t>дежурными аттракционов, иными работниками</w:t>
      </w:r>
      <w:r w:rsidR="000910EE">
        <w:t xml:space="preserve">, допущенными к работам на </w:t>
      </w:r>
      <w:r w:rsidR="000910EE">
        <w:lastRenderedPageBreak/>
        <w:t xml:space="preserve">аттракционах, уделив особое внимание </w:t>
      </w:r>
      <w:r w:rsidR="008F3128">
        <w:t xml:space="preserve">проведению </w:t>
      </w:r>
      <w:r w:rsidR="000910EE">
        <w:t>еже</w:t>
      </w:r>
      <w:r w:rsidR="008F3128">
        <w:t>дневных проверок технического состояния аттракционов</w:t>
      </w:r>
      <w:r w:rsidR="000910EE">
        <w:t>,</w:t>
      </w:r>
      <w:r w:rsidR="008130DD">
        <w:t xml:space="preserve"> порядку </w:t>
      </w:r>
      <w:r w:rsidR="000910EE">
        <w:t>действи</w:t>
      </w:r>
      <w:r w:rsidR="008130DD">
        <w:t>й</w:t>
      </w:r>
      <w:r w:rsidR="000910EE">
        <w:t xml:space="preserve"> в </w:t>
      </w:r>
      <w:r w:rsidR="008130DD">
        <w:t>чрезвычайных ситуациях (авария, несчастный случай и иное), в том числе и с учётом требований Инструкции о порядке расследования и учёта несчастных случаев, произошедших с пользователями потенциально опасных объектов: лифтов, эскалаторов, конвейеров пассажирских, пассажирских канатных дорог</w:t>
      </w:r>
      <w:proofErr w:type="gramEnd"/>
      <w:r w:rsidR="008130DD">
        <w:t xml:space="preserve"> и аттракционов, за исключением расследования несчастных случаев на производстве, утверждённой постановлением Министерства по чрезвычайным ситуациям Республики Беларусь от 06.01.2023 № 6, и вступившей в силу с 18.02.2023.</w:t>
      </w:r>
    </w:p>
    <w:p w:rsidR="009859DE" w:rsidRDefault="009859DE" w:rsidP="00F21301">
      <w:pPr>
        <w:tabs>
          <w:tab w:val="left" w:pos="1605"/>
        </w:tabs>
        <w:spacing w:line="280" w:lineRule="exact"/>
        <w:ind w:right="-363"/>
      </w:pPr>
      <w:bookmarkStart w:id="0" w:name="_GoBack"/>
      <w:bookmarkEnd w:id="0"/>
    </w:p>
    <w:sectPr w:rsidR="009859DE" w:rsidSect="00A2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C6F"/>
    <w:multiLevelType w:val="hybridMultilevel"/>
    <w:tmpl w:val="73BE9B46"/>
    <w:lvl w:ilvl="0" w:tplc="E140E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601A5"/>
    <w:multiLevelType w:val="hybridMultilevel"/>
    <w:tmpl w:val="F84CFF90"/>
    <w:lvl w:ilvl="0" w:tplc="C338D99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B67A2"/>
    <w:multiLevelType w:val="multilevel"/>
    <w:tmpl w:val="EB329A74"/>
    <w:lvl w:ilvl="0">
      <w:start w:val="1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876" w:hanging="87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28344DF"/>
    <w:multiLevelType w:val="hybridMultilevel"/>
    <w:tmpl w:val="E834CAE2"/>
    <w:lvl w:ilvl="0" w:tplc="8A9E6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EB185F"/>
    <w:multiLevelType w:val="hybridMultilevel"/>
    <w:tmpl w:val="C66E20DA"/>
    <w:lvl w:ilvl="0" w:tplc="8AB60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71C04"/>
    <w:multiLevelType w:val="hybridMultilevel"/>
    <w:tmpl w:val="40C42AEA"/>
    <w:lvl w:ilvl="0" w:tplc="74F8DEDC">
      <w:start w:val="1"/>
      <w:numFmt w:val="decimal"/>
      <w:lvlText w:val="%1-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>
    <w:nsid w:val="597C38EF"/>
    <w:multiLevelType w:val="hybridMultilevel"/>
    <w:tmpl w:val="7480BAAE"/>
    <w:lvl w:ilvl="0" w:tplc="6FAE04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3E6123F"/>
    <w:multiLevelType w:val="hybridMultilevel"/>
    <w:tmpl w:val="FE6AC824"/>
    <w:lvl w:ilvl="0" w:tplc="99605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DE"/>
    <w:rsid w:val="000570E2"/>
    <w:rsid w:val="000910EE"/>
    <w:rsid w:val="000D113B"/>
    <w:rsid w:val="000E0054"/>
    <w:rsid w:val="001114AE"/>
    <w:rsid w:val="00122930"/>
    <w:rsid w:val="001C75BB"/>
    <w:rsid w:val="00222069"/>
    <w:rsid w:val="002547D9"/>
    <w:rsid w:val="002A547C"/>
    <w:rsid w:val="002B5C22"/>
    <w:rsid w:val="002C4A50"/>
    <w:rsid w:val="002E1DDC"/>
    <w:rsid w:val="0030573E"/>
    <w:rsid w:val="003231DC"/>
    <w:rsid w:val="00376762"/>
    <w:rsid w:val="003B366C"/>
    <w:rsid w:val="004545E4"/>
    <w:rsid w:val="004B4288"/>
    <w:rsid w:val="00540124"/>
    <w:rsid w:val="0055638B"/>
    <w:rsid w:val="00570835"/>
    <w:rsid w:val="005729C2"/>
    <w:rsid w:val="005F04DC"/>
    <w:rsid w:val="005F125B"/>
    <w:rsid w:val="005F5425"/>
    <w:rsid w:val="00607972"/>
    <w:rsid w:val="0061196F"/>
    <w:rsid w:val="00624592"/>
    <w:rsid w:val="0062675A"/>
    <w:rsid w:val="00667865"/>
    <w:rsid w:val="006C6D11"/>
    <w:rsid w:val="006D4F43"/>
    <w:rsid w:val="006E10FA"/>
    <w:rsid w:val="006E2B96"/>
    <w:rsid w:val="006E4761"/>
    <w:rsid w:val="006E514A"/>
    <w:rsid w:val="006E5E98"/>
    <w:rsid w:val="007038D3"/>
    <w:rsid w:val="007632CF"/>
    <w:rsid w:val="007A54FD"/>
    <w:rsid w:val="007B588E"/>
    <w:rsid w:val="007D2E95"/>
    <w:rsid w:val="007E79A1"/>
    <w:rsid w:val="00801CD6"/>
    <w:rsid w:val="0080446D"/>
    <w:rsid w:val="008130DD"/>
    <w:rsid w:val="008138EC"/>
    <w:rsid w:val="00883328"/>
    <w:rsid w:val="008C5ADD"/>
    <w:rsid w:val="008D0CEB"/>
    <w:rsid w:val="008F3128"/>
    <w:rsid w:val="008F5C97"/>
    <w:rsid w:val="00946B26"/>
    <w:rsid w:val="009859DE"/>
    <w:rsid w:val="009B4117"/>
    <w:rsid w:val="009E5C6F"/>
    <w:rsid w:val="00A164D7"/>
    <w:rsid w:val="00A20F6A"/>
    <w:rsid w:val="00A45008"/>
    <w:rsid w:val="00A86773"/>
    <w:rsid w:val="00AA6A57"/>
    <w:rsid w:val="00AC7924"/>
    <w:rsid w:val="00BD596C"/>
    <w:rsid w:val="00BD7D78"/>
    <w:rsid w:val="00C06EBE"/>
    <w:rsid w:val="00C2692D"/>
    <w:rsid w:val="00C411DD"/>
    <w:rsid w:val="00C4514D"/>
    <w:rsid w:val="00C561B8"/>
    <w:rsid w:val="00D1229C"/>
    <w:rsid w:val="00D23CB8"/>
    <w:rsid w:val="00D3429F"/>
    <w:rsid w:val="00D47FDD"/>
    <w:rsid w:val="00E01277"/>
    <w:rsid w:val="00E221E9"/>
    <w:rsid w:val="00E22D8F"/>
    <w:rsid w:val="00E402FC"/>
    <w:rsid w:val="00E41589"/>
    <w:rsid w:val="00EB60FF"/>
    <w:rsid w:val="00ED04F5"/>
    <w:rsid w:val="00F0068F"/>
    <w:rsid w:val="00F21301"/>
    <w:rsid w:val="00F372F6"/>
    <w:rsid w:val="00F52F68"/>
    <w:rsid w:val="00F846F1"/>
    <w:rsid w:val="00FA4346"/>
    <w:rsid w:val="00FB5350"/>
    <w:rsid w:val="00FD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ic-bodycontent-text">
    <w:name w:val="topic-body__content-text"/>
    <w:basedOn w:val="a"/>
    <w:rsid w:val="0080446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76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5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E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ic-bodycontent-text">
    <w:name w:val="topic-body__content-text"/>
    <w:basedOn w:val="a"/>
    <w:rsid w:val="0080446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76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5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E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A24B-AFA6-4F72-A3CF-AD95FA14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1</cp:lastModifiedBy>
  <cp:revision>3</cp:revision>
  <cp:lastPrinted>2023-05-11T14:23:00Z</cp:lastPrinted>
  <dcterms:created xsi:type="dcterms:W3CDTF">2023-06-23T08:01:00Z</dcterms:created>
  <dcterms:modified xsi:type="dcterms:W3CDTF">2023-06-23T08:54:00Z</dcterms:modified>
</cp:coreProperties>
</file>