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D" w:rsidRDefault="00AA636D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AA636D" w:rsidRDefault="00AA636D">
      <w:pPr>
        <w:pStyle w:val="newncpi"/>
        <w:ind w:firstLine="0"/>
        <w:jc w:val="center"/>
      </w:pPr>
      <w:r>
        <w:rPr>
          <w:rStyle w:val="datepr"/>
        </w:rPr>
        <w:t>26 ноября 2015 г.</w:t>
      </w:r>
      <w:r>
        <w:rPr>
          <w:rStyle w:val="number"/>
        </w:rPr>
        <w:t xml:space="preserve"> № 475</w:t>
      </w:r>
    </w:p>
    <w:p w:rsidR="00AA636D" w:rsidRDefault="00AA636D">
      <w:pPr>
        <w:pStyle w:val="titlencpi"/>
      </w:pPr>
      <w:r>
        <w:t>О внесении изменений и дополнений в указы Президента Республики Беларусь</w:t>
      </w:r>
    </w:p>
    <w:p w:rsidR="00AA636D" w:rsidRDefault="00AA636D">
      <w:pPr>
        <w:pStyle w:val="changei"/>
      </w:pPr>
      <w:r>
        <w:t>Изменения и дополнения:</w:t>
      </w:r>
    </w:p>
    <w:p w:rsidR="00AA636D" w:rsidRDefault="00AA636D">
      <w:pPr>
        <w:pStyle w:val="changeadd"/>
      </w:pPr>
      <w:r>
        <w:t>Указ Президента Республики Беларусь от 22 июня 2023 г. № 178 (Национальный правовой Интернет-портал Республики Беларусь, 27.06.2023, 1/20901) &lt;P32300178&gt;</w:t>
      </w:r>
    </w:p>
    <w:p w:rsidR="00AA636D" w:rsidRDefault="00AA636D">
      <w:pPr>
        <w:pStyle w:val="newncpi"/>
      </w:pPr>
      <w:r>
        <w:t> </w:t>
      </w:r>
    </w:p>
    <w:p w:rsidR="00AA636D" w:rsidRDefault="00AA636D">
      <w:pPr>
        <w:pStyle w:val="point"/>
      </w:pPr>
      <w:r>
        <w:t>1. Внести изменения и дополнения в следующие указы Президента Республики Беларусь:</w:t>
      </w:r>
    </w:p>
    <w:p w:rsidR="00AA636D" w:rsidRDefault="00AA636D">
      <w:pPr>
        <w:pStyle w:val="underpoint"/>
      </w:pPr>
      <w:r>
        <w:t>1.1. в Указе Президента Республики Беларусь от 16 октября 2009 г. № 510 «О 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1/11062; Национальный правовой Интернет-портал Республики Беларусь, 31.07.2012, 1/13654):</w:t>
      </w:r>
    </w:p>
    <w:p w:rsidR="00AA636D" w:rsidRDefault="00AA636D">
      <w:pPr>
        <w:pStyle w:val="newncpi"/>
      </w:pPr>
      <w:r>
        <w:t>абзац четырнадцатый графы «Сфера контроля (надзора)» пункта 24 перечня контролирующих (надзорных) органов и сфер их контрольной (надзорной) деятельности, утвержденного этим Указом, изложить в следующей редакции:</w:t>
      </w:r>
    </w:p>
    <w:p w:rsidR="00AA636D" w:rsidRDefault="00AA636D">
      <w:pPr>
        <w:pStyle w:val="newncpi"/>
      </w:pPr>
      <w:r>
        <w:t>«контроль за разработкой и производством бланков ценных бумаг и документов с определенной степенью защиты, а также документов с определенной степенью защиты и специальных материалов для защиты их от подделки»;</w:t>
      </w:r>
    </w:p>
    <w:p w:rsidR="00AA636D" w:rsidRDefault="00AA636D">
      <w:pPr>
        <w:pStyle w:val="newncpi"/>
      </w:pPr>
      <w:r>
        <w:t>абзац первый графы «Критерии отнесения проверяемого субъекта к группе риска для назначения плановых проверок» пункта 17 критериев отнесения проверяемых субъектов к группе риска для назначения плановых проверок, утвержденных этим Указом, изложить в следующей редакции:</w:t>
      </w:r>
    </w:p>
    <w:p w:rsidR="00AA636D" w:rsidRDefault="00AA636D">
      <w:pPr>
        <w:pStyle w:val="newncpi"/>
      </w:pPr>
      <w:r>
        <w:t>«осуществление деятельности по разработке и производству бланков ценных бумаг и документов с определенной степенью защиты, а также документов с определенной степенью защиты и специальных материалов для защиты их от подделки»;</w:t>
      </w:r>
    </w:p>
    <w:p w:rsidR="00AA636D" w:rsidRDefault="00AA636D">
      <w:pPr>
        <w:pStyle w:val="underpoint"/>
      </w:pPr>
      <w:r>
        <w:t>1.2. утратил силу.</w:t>
      </w:r>
    </w:p>
    <w:p w:rsidR="00AA636D" w:rsidRDefault="00AA636D">
      <w:pPr>
        <w:rPr>
          <w:rFonts w:eastAsia="Times New Roman"/>
        </w:rPr>
        <w:sectPr w:rsidR="00AA636D" w:rsidSect="00AA63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3" w:bottom="851" w:left="1416" w:header="280" w:footer="180" w:gutter="0"/>
          <w:cols w:space="708"/>
          <w:titlePg/>
          <w:docGrid w:linePitch="408"/>
        </w:sectPr>
      </w:pPr>
    </w:p>
    <w:p w:rsidR="00AA636D" w:rsidRDefault="00AA636D">
      <w:pPr>
        <w:pStyle w:val="point"/>
      </w:pPr>
      <w:r>
        <w:lastRenderedPageBreak/>
        <w:t>2. Установить, что специальные разрешения (лицензии), действительные на дату официального опубликования настоящего Указа, сроком действия не ограничиваются.</w:t>
      </w:r>
    </w:p>
    <w:p w:rsidR="00AA636D" w:rsidRDefault="00AA636D">
      <w:pPr>
        <w:pStyle w:val="point"/>
      </w:pPr>
      <w:r>
        <w:t>3. Юридические лица и индивидуальные предприниматели:</w:t>
      </w:r>
    </w:p>
    <w:p w:rsidR="00AA636D" w:rsidRDefault="00AA636D">
      <w:pPr>
        <w:pStyle w:val="underpoint"/>
      </w:pPr>
      <w:r>
        <w:t>3.1. обязаны до 1 июня 2016 г.:</w:t>
      </w:r>
    </w:p>
    <w:p w:rsidR="00AA636D" w:rsidRDefault="00AA636D">
      <w:pPr>
        <w:pStyle w:val="newncpi"/>
      </w:pPr>
      <w:r>
        <w:t>обеспечить выполнение лицензионных требований и условий, предусмотренных настоящим Указом, если такие требования и условия изменяются по отношению к лицензионным требованиям и условиям, действующим до 1 марта 2016 г., и представить до 1 июня 2016 г. информацию об обеспечении выполнения лицензионных требований и условий в лицензирующие органы, если иной срок не установлен в настоящем подпункте;</w:t>
      </w:r>
    </w:p>
    <w:p w:rsidR="00AA636D" w:rsidRDefault="00AA636D">
      <w:pPr>
        <w:pStyle w:val="newncpi"/>
      </w:pPr>
      <w:r>
        <w:t>сдать в лицензирующие органы оригиналы (дубликаты) специальных разрешений (лицензий) на осуществление видов деятельности, не подлежащих лицензированию с 1 марта 2016 г.</w:t>
      </w:r>
    </w:p>
    <w:p w:rsidR="00AA636D" w:rsidRDefault="00AA636D">
      <w:pPr>
        <w:pStyle w:val="newncpi"/>
      </w:pPr>
      <w:r>
        <w:t>Юридические лица и индивидуальные предприниматели, осуществляющие деятельность по оказанию юридических услуг (как составляющих лицензируемую деятельность услуг), судебно-экспертную деятельность, обязаны до 1 июля 2017 г. обеспечить выполнение лицензионных требований и условий, предусмотренных соответственно в абзацах втором и третьем подпункта 347.2 пункта 347 и в абзацах втором и третьем пункта 422</w:t>
      </w:r>
      <w:r>
        <w:rPr>
          <w:vertAlign w:val="superscript"/>
        </w:rPr>
        <w:t xml:space="preserve">9 </w:t>
      </w:r>
      <w:r>
        <w:t>Положения о лицензировании отдельных видов деятельности, и представить в указанный срок информацию об обеспечении выполнения лицензионных требований и условий в лицензирующие органы.</w:t>
      </w:r>
    </w:p>
    <w:p w:rsidR="00AA636D" w:rsidRDefault="00AA636D">
      <w:pPr>
        <w:pStyle w:val="newncpi"/>
      </w:pPr>
      <w:r>
        <w:t>В случае несоблюдения обязанностей, предусмотренных в абзаце втором части первой и части второй настоящего подпункта, действие специальных разрешений (лицензий) на осуществление видов деятельности с 1 июня 2016 г. (при оказании юридических услуг, осуществлении судебно-экспертной деятельности – с 1 июля 2017 г.) приостанавливается (прекращается) в соответствии с требованиями, предусмотренными Указом Президента Республики Беларусь от 1 сентября 2010 г. № 450 и настоящим Указом;</w:t>
      </w:r>
    </w:p>
    <w:p w:rsidR="00AA636D" w:rsidRDefault="00AA636D">
      <w:pPr>
        <w:pStyle w:val="underpoint"/>
      </w:pPr>
      <w:r>
        <w:t>3.2. вправе:</w:t>
      </w:r>
    </w:p>
    <w:p w:rsidR="00AA636D" w:rsidRDefault="00AA636D">
      <w:pPr>
        <w:pStyle w:val="newncpi"/>
      </w:pPr>
      <w:r>
        <w:t>не продлевать срок действия специальных разрешений (лицензий) на осуществление видов деятельности либо специальных разрешений (лицензий) на осуществление составляющих виды деятельности работ и (или) услуг, лицензирование которых отменяется;</w:t>
      </w:r>
    </w:p>
    <w:p w:rsidR="00AA636D" w:rsidRDefault="00AA636D">
      <w:pPr>
        <w:pStyle w:val="newncpi"/>
      </w:pPr>
      <w:r>
        <w:t>осуществлять деятельность на основании специальных разрешений (лицензий), выданных до 1 марта 2016 г., за исключением указанных в пункте 5 настоящего Указа, при условии соблюдения требований, предусмотренных в абзаце втором части первой и частях второй и третьей подпункта 3.1 настоящего пункта. Внесение изменений и (или) дополнений в соответствии с настоящим Указом в специальные разрешения (лицензии) производится при внесении в них иных изменений и (или) дополнений либо выдаче их дубликата после 1 марта 2016 г.</w:t>
      </w:r>
    </w:p>
    <w:p w:rsidR="00AA636D" w:rsidRDefault="00AA636D">
      <w:pPr>
        <w:pStyle w:val="newncpi"/>
      </w:pPr>
      <w:r>
        <w:t>В случае, если при выдаче дубликата специальных разрешений (лицензий), указанных в части первой настоящего подпункта, одновременно осуществляется внесение в них изменений и (или) дополнений в соответствии с настоящим Указом, государственная пошлина за внесение таких изменений и (или) дополнений не взимается.</w:t>
      </w:r>
    </w:p>
    <w:p w:rsidR="00AA636D" w:rsidRDefault="00AA636D">
      <w:pPr>
        <w:pStyle w:val="point"/>
      </w:pPr>
      <w:r>
        <w:t>4. Бланки специальных разрешений (лицензий), изготовленные до 1 марта 2016 г., используются при условии внесения в них сведений в соответствии с изменениями, предусмотренными настоящим Указом.</w:t>
      </w:r>
    </w:p>
    <w:p w:rsidR="00AA636D" w:rsidRDefault="00AA636D">
      <w:pPr>
        <w:pStyle w:val="point"/>
      </w:pPr>
      <w:r>
        <w:t>5. Установить, что специальные разрешения (лицензии) на осуществление деятельности по оказанию юридических услуг, включающей составляющую услугу – судебно-экспертная деятельность, выданные Министерством юстиции до 1 июля 2013 г. и действительные на 1 марта 2016 г., подлежат обмену до 1 июня 2016 г. на специальные разрешения (лицензии) на осуществление судебно-экспертной деятельности.</w:t>
      </w:r>
    </w:p>
    <w:p w:rsidR="00AA636D" w:rsidRDefault="00AA636D">
      <w:pPr>
        <w:pStyle w:val="newncpi"/>
      </w:pPr>
      <w:r>
        <w:t>Для обмена специальных разрешений (лицензий), указанных в части первой настоящего пункта, юридические лица и индивидуальные предприниматели, имеющие такие специальные разрешения (лицензии), должны в срок, установленный в соответствии с графиком, утверждаемым Государственным комитетом судебных экспертиз, обратиться в данный Государственный комитет и представить следующие документы:</w:t>
      </w:r>
    </w:p>
    <w:p w:rsidR="00AA636D" w:rsidRDefault="00AA636D">
      <w:pPr>
        <w:pStyle w:val="newncpi"/>
      </w:pPr>
      <w:r>
        <w:t>копию соответствующего специального разрешения (лицензии) или его дубликата;</w:t>
      </w:r>
    </w:p>
    <w:p w:rsidR="00AA636D" w:rsidRDefault="00AA636D">
      <w:pPr>
        <w:pStyle w:val="newncpi"/>
      </w:pPr>
      <w:r>
        <w:lastRenderedPageBreak/>
        <w:t>список штатных работников с указанием проводимых ими видов (подвидов) судебных экспертиз (для юридического лица).</w:t>
      </w:r>
    </w:p>
    <w:p w:rsidR="00AA636D" w:rsidRDefault="00AA636D">
      <w:pPr>
        <w:pStyle w:val="newncpi"/>
      </w:pPr>
      <w:r>
        <w:t>Выдача Государственным комитетом судебных экспертиз специальных разрешений (лицензий) в результате произведенного в соответствии с частью первой настоящего пункта обмена осуществляется в течение 15 рабочих дней со дня подачи документов, указанных в части второй настоящего пункта.</w:t>
      </w:r>
    </w:p>
    <w:p w:rsidR="00AA636D" w:rsidRDefault="00AA636D">
      <w:pPr>
        <w:pStyle w:val="newncpi"/>
      </w:pPr>
      <w:r>
        <w:t>Специальные разрешения (лицензии), выдаваемые в результате произведенного в соответствии с частью первой настоящего пункта обмена:</w:t>
      </w:r>
    </w:p>
    <w:p w:rsidR="00AA636D" w:rsidRDefault="00AA636D">
      <w:pPr>
        <w:pStyle w:val="newncpi"/>
      </w:pPr>
      <w:r>
        <w:t>сроком действия не ограничиваются;</w:t>
      </w:r>
    </w:p>
    <w:p w:rsidR="00AA636D" w:rsidRDefault="00AA636D">
      <w:pPr>
        <w:pStyle w:val="newncpi"/>
      </w:pPr>
      <w:r>
        <w:t>должны включать указание на виды (подвиды) судебных экспертиз, которые вправе осуществлять лицензиат.</w:t>
      </w:r>
    </w:p>
    <w:p w:rsidR="00AA636D" w:rsidRDefault="00AA636D">
      <w:pPr>
        <w:pStyle w:val="newncpi"/>
      </w:pPr>
      <w:r>
        <w:t>Перечень видов (подвидов) судебных экспертиз, указанных в абзаце третьем части четвертой настоящего пункта, определяется с учетом наличия:</w:t>
      </w:r>
    </w:p>
    <w:p w:rsidR="00AA636D" w:rsidRDefault="00AA636D">
      <w:pPr>
        <w:pStyle w:val="newncpi"/>
      </w:pPr>
      <w:r>
        <w:t>для индивидуального предпринимателя – свидетельства о присвоении квалификации судебного эксперта по соответствующему виду (подвиду) судебной экспертизы;</w:t>
      </w:r>
    </w:p>
    <w:p w:rsidR="00AA636D" w:rsidRDefault="00AA636D">
      <w:pPr>
        <w:pStyle w:val="newncpi"/>
      </w:pPr>
      <w:r>
        <w:t>для юридического лица – не менее 2 штатных работников, имеющих свидетельство о присвоении квалификации судебного эксперта по соответствующему виду (подвиду) судебной экспертизы.</w:t>
      </w:r>
    </w:p>
    <w:p w:rsidR="00AA636D" w:rsidRDefault="00AA636D">
      <w:pPr>
        <w:pStyle w:val="newncpi"/>
      </w:pPr>
      <w:r>
        <w:t>При получении специальных разрешений (лицензий), выдаваемых в результате произведенного в соответствии с частью первой настоящего пункта обмена, юридические лица и индивидуальные предприниматели обязаны сдать в Государственный комитет судебных экспертиз оригиналы (дубликаты) соответствующих специальных разрешений (лицензий), выданных до 1 июля 2013 г.</w:t>
      </w:r>
    </w:p>
    <w:p w:rsidR="00AA636D" w:rsidRDefault="00AA636D">
      <w:pPr>
        <w:pStyle w:val="newncpi"/>
      </w:pPr>
      <w:r>
        <w:t>Государственная пошлина за выдачу специальных разрешений (лицензий) в результате произведенного в соответствии с частью первой настоящего пункта обмена не взимается.</w:t>
      </w:r>
    </w:p>
    <w:p w:rsidR="00AA636D" w:rsidRDefault="00AA636D">
      <w:pPr>
        <w:pStyle w:val="newncpi"/>
      </w:pPr>
      <w:r>
        <w:t>С 1 марта 2016 г. осуществление судебно-экспертной деятельности на основании специальных разрешений (лицензий), подлежащих обмену в соответствии с частью первой настоящего пункта, является незаконным и запрещается.</w:t>
      </w:r>
    </w:p>
    <w:p w:rsidR="00AA636D" w:rsidRDefault="00AA636D">
      <w:pPr>
        <w:pStyle w:val="point"/>
      </w:pPr>
      <w:r>
        <w:t>6. Государственному комитету судебных экспертиз до 1 марта 2016 г. утвердить график обмена специальных разрешений (лицензий), указанных в части первой пункта 5 настоящего Указа, и уведомить юридические лица и индивидуальных предпринимателей, которые имеют такие специальные разрешения (лицензии), о сроках обращения в данный Государственный комитет за их обменом.</w:t>
      </w:r>
    </w:p>
    <w:p w:rsidR="00AA636D" w:rsidRDefault="00AA636D">
      <w:pPr>
        <w:pStyle w:val="point"/>
      </w:pPr>
      <w:r>
        <w:t>7. Государственные органы, уполномоченные в соответствии с Указом Президента Республики Беларусь от 1 сентября 2010 г. № 450 на выдачу специальных разрешений (лицензий) на осуществление видов деятельности и составляющих виды деятельности работ и (или) услуг, лицензирование которых отменяется в соответствии с настоящим Указом, обеспечивают:</w:t>
      </w:r>
    </w:p>
    <w:p w:rsidR="00AA636D" w:rsidRDefault="00AA636D">
      <w:pPr>
        <w:pStyle w:val="underpoint"/>
      </w:pPr>
      <w:r>
        <w:t>7.1. прием и хранение в установленном законодательством порядке специальных разрешений (лицензий) на осуществление видов деятельности либо специальных разрешений (лицензий) на осуществление составляющих виды деятельности работ и (или) услуг, лицензирование которых отменяется в соответствии с настоящим Указом, а также иных документов, относящихся к лицензированию соответствующей деятельности;</w:t>
      </w:r>
    </w:p>
    <w:p w:rsidR="00AA636D" w:rsidRDefault="00AA636D">
      <w:pPr>
        <w:pStyle w:val="underpoint"/>
      </w:pPr>
      <w:r>
        <w:t>7.2. сохранность данных, содержащихся в сформированных государственными органами реестрах специальных разрешений (лицензий), указанных в подпункте 7.1 настоящего пункта, а также доступ к таким данным в порядке, предусмотренном Указом Президента Республики Беларусь от 1 сентября 2010 г. № 450.</w:t>
      </w:r>
    </w:p>
    <w:p w:rsidR="00AA636D" w:rsidRDefault="00AA636D">
      <w:pPr>
        <w:pStyle w:val="point"/>
      </w:pPr>
      <w:r>
        <w:t>8. Государственным органам и государственным организациям, уполномоченным в соответствии с Указом Президента Республики Беларусь от 1 сентября 2010 г. № 450 на выдачу специальных разрешений (лицензий) на осуществление видов деятельности, лицензирование которых в соответствии с настоящим Указом сохраняется, до 1 марта 2016 г. обеспечить в установленном порядке:</w:t>
      </w:r>
    </w:p>
    <w:p w:rsidR="00AA636D" w:rsidRDefault="00AA636D">
      <w:pPr>
        <w:pStyle w:val="underpoint"/>
      </w:pPr>
      <w:r>
        <w:t>8.1. доступ работников, осуществляющих реализацию полномочий соответствующего органа (организации) на выдачу специальных разрешений (лицензий), к Единому государственному регистру юридических лиц и индивидуальных предпринимателей;</w:t>
      </w:r>
    </w:p>
    <w:p w:rsidR="00AA636D" w:rsidRDefault="00AA636D">
      <w:pPr>
        <w:pStyle w:val="underpoint"/>
      </w:pPr>
      <w:r>
        <w:lastRenderedPageBreak/>
        <w:t>8.2. совместно с Оперативно-аналитическим центром при Президенте Республики Беларусь и Министерством связи и информатизации возможность приема, проверки и хранения заявления о выдаче лицензии, о получении дубликата лицензии, о внесении в лицензию изменений и (или) дополнений и прилагаемых к заявлению документов, а также уведомления о принятии лицензиатом решения о прекращении осуществления лицензируемого вида деятельности в виде электронного документа.</w:t>
      </w:r>
    </w:p>
    <w:p w:rsidR="00AA636D" w:rsidRDefault="00AA636D">
      <w:pPr>
        <w:pStyle w:val="point"/>
      </w:pPr>
      <w:r>
        <w:t>9. Совету Министров Республики Беларусь до 1 марта 2016 г. обеспечить приведение актов законодательства в соответствие с настоящим Указом и принять иные меры по его реализации.</w:t>
      </w:r>
    </w:p>
    <w:p w:rsidR="00AA636D" w:rsidRDefault="00AA636D">
      <w:pPr>
        <w:pStyle w:val="point"/>
      </w:pPr>
      <w:r>
        <w:t>10. До приведения в соответствие с настоящим Указом акты законодательства применяются в части, не противоречащей настоящему Указу.</w:t>
      </w:r>
    </w:p>
    <w:p w:rsidR="00AA636D" w:rsidRDefault="00AA636D">
      <w:pPr>
        <w:pStyle w:val="point"/>
      </w:pPr>
      <w:r>
        <w:t>11. Настоящий Указ вступает в силу в следующем порядке:</w:t>
      </w:r>
    </w:p>
    <w:p w:rsidR="00AA636D" w:rsidRDefault="00AA636D">
      <w:pPr>
        <w:pStyle w:val="underpoint"/>
      </w:pPr>
      <w:r>
        <w:t>11.1. пункт 2, абзац второй части первой подпункта 3.2 пункта 3, пункты 6–10 и настоящий пункт – после официального опубликования настоящего Указа;</w:t>
      </w:r>
    </w:p>
    <w:p w:rsidR="00AA636D" w:rsidRDefault="00AA636D">
      <w:pPr>
        <w:pStyle w:val="underpoint"/>
      </w:pPr>
      <w:r>
        <w:t>11.2. иные положения этого Указа – с 1 марта 2016 г.</w:t>
      </w:r>
    </w:p>
    <w:p w:rsidR="00AA636D" w:rsidRDefault="00AA63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AA636D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636D" w:rsidRDefault="00AA636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636D" w:rsidRDefault="00AA636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AA636D" w:rsidRDefault="00AA636D">
      <w:pPr>
        <w:pStyle w:val="newncpi0"/>
      </w:pPr>
      <w:r>
        <w:t> </w:t>
      </w:r>
    </w:p>
    <w:p w:rsidR="00697807" w:rsidRDefault="00697807"/>
    <w:sectPr w:rsidR="00697807" w:rsidSect="00AA636D">
      <w:pgSz w:w="11906" w:h="16840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E9" w:rsidRDefault="003701E9" w:rsidP="00AA636D">
      <w:pPr>
        <w:spacing w:after="0" w:line="240" w:lineRule="auto"/>
      </w:pPr>
      <w:r>
        <w:separator/>
      </w:r>
    </w:p>
  </w:endnote>
  <w:endnote w:type="continuationSeparator" w:id="0">
    <w:p w:rsidR="003701E9" w:rsidRDefault="003701E9" w:rsidP="00AA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6D" w:rsidRDefault="00AA63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6D" w:rsidRDefault="00AA63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A636D" w:rsidTr="00AA636D">
      <w:tc>
        <w:tcPr>
          <w:tcW w:w="1800" w:type="dxa"/>
          <w:shd w:val="clear" w:color="auto" w:fill="auto"/>
          <w:vAlign w:val="center"/>
        </w:tcPr>
        <w:p w:rsidR="00AA636D" w:rsidRDefault="00AA636D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A636D" w:rsidRDefault="00AA636D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AA636D" w:rsidRDefault="00AA636D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23.04.2025</w:t>
          </w:r>
        </w:p>
        <w:p w:rsidR="00AA636D" w:rsidRPr="00AA636D" w:rsidRDefault="00AA636D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A636D" w:rsidRDefault="00AA6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E9" w:rsidRDefault="003701E9" w:rsidP="00AA636D">
      <w:pPr>
        <w:spacing w:after="0" w:line="240" w:lineRule="auto"/>
      </w:pPr>
      <w:r>
        <w:separator/>
      </w:r>
    </w:p>
  </w:footnote>
  <w:footnote w:type="continuationSeparator" w:id="0">
    <w:p w:rsidR="003701E9" w:rsidRDefault="003701E9" w:rsidP="00AA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6D" w:rsidRDefault="00AA636D" w:rsidP="009F095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A636D" w:rsidRDefault="00AA63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6D" w:rsidRPr="00AA636D" w:rsidRDefault="00AA636D" w:rsidP="009F095F">
    <w:pPr>
      <w:pStyle w:val="a4"/>
      <w:framePr w:wrap="around" w:vAnchor="text" w:hAnchor="margin" w:xAlign="center" w:y="1"/>
      <w:rPr>
        <w:rStyle w:val="a8"/>
        <w:rFonts w:cs="Times New Roman"/>
        <w:sz w:val="24"/>
      </w:rPr>
    </w:pPr>
    <w:r w:rsidRPr="00AA636D">
      <w:rPr>
        <w:rStyle w:val="a8"/>
        <w:rFonts w:cs="Times New Roman"/>
        <w:sz w:val="24"/>
      </w:rPr>
      <w:fldChar w:fldCharType="begin"/>
    </w:r>
    <w:r w:rsidRPr="00AA636D">
      <w:rPr>
        <w:rStyle w:val="a8"/>
        <w:rFonts w:cs="Times New Roman"/>
        <w:sz w:val="24"/>
      </w:rPr>
      <w:instrText xml:space="preserve"> PAGE </w:instrText>
    </w:r>
    <w:r w:rsidRPr="00AA636D">
      <w:rPr>
        <w:rStyle w:val="a8"/>
        <w:rFonts w:cs="Times New Roman"/>
        <w:sz w:val="24"/>
      </w:rPr>
      <w:fldChar w:fldCharType="separate"/>
    </w:r>
    <w:r>
      <w:rPr>
        <w:rStyle w:val="a8"/>
        <w:rFonts w:cs="Times New Roman"/>
        <w:noProof/>
        <w:sz w:val="24"/>
      </w:rPr>
      <w:t>4</w:t>
    </w:r>
    <w:r w:rsidRPr="00AA636D">
      <w:rPr>
        <w:rStyle w:val="a8"/>
        <w:rFonts w:cs="Times New Roman"/>
        <w:sz w:val="24"/>
      </w:rPr>
      <w:fldChar w:fldCharType="end"/>
    </w:r>
  </w:p>
  <w:p w:rsidR="00AA636D" w:rsidRPr="00AA636D" w:rsidRDefault="00AA636D">
    <w:pPr>
      <w:pStyle w:val="a4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6D" w:rsidRDefault="00AA63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6D"/>
    <w:rsid w:val="000D36A1"/>
    <w:rsid w:val="001C45A2"/>
    <w:rsid w:val="003701E9"/>
    <w:rsid w:val="00697807"/>
    <w:rsid w:val="00AA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3738-6A0F-4EDB-AEC9-53E936D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titlencpi">
    <w:name w:val="titlencpi"/>
    <w:basedOn w:val="a"/>
    <w:rsid w:val="00AA636D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A636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A636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A636D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A636D"/>
    <w:pPr>
      <w:spacing w:after="0" w:line="240" w:lineRule="auto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A636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636D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A63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63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63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636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A63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636D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A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36D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AA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36D"/>
    <w:rPr>
      <w:rFonts w:ascii="Times New Roman" w:hAnsi="Times New Roman"/>
      <w:sz w:val="30"/>
    </w:rPr>
  </w:style>
  <w:style w:type="character" w:styleId="a8">
    <w:name w:val="page number"/>
    <w:basedOn w:val="a0"/>
    <w:uiPriority w:val="99"/>
    <w:semiHidden/>
    <w:unhideWhenUsed/>
    <w:rsid w:val="00AA636D"/>
  </w:style>
  <w:style w:type="table" w:styleId="a9">
    <w:name w:val="Table Grid"/>
    <w:basedOn w:val="a1"/>
    <w:uiPriority w:val="39"/>
    <w:rsid w:val="00AA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9246</Characters>
  <Application>Microsoft Office Word</Application>
  <DocSecurity>0</DocSecurity>
  <Lines>162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1</cp:revision>
  <dcterms:created xsi:type="dcterms:W3CDTF">2025-04-23T05:22:00Z</dcterms:created>
  <dcterms:modified xsi:type="dcterms:W3CDTF">2025-04-23T05:23:00Z</dcterms:modified>
</cp:coreProperties>
</file>