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8F" w:rsidRDefault="0052748F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52748F" w:rsidRDefault="0052748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  <w:shd w:val="clear" w:color="auto" w:fill="FFFFFF"/>
        </w:rPr>
        <w:t>240</w:t>
      </w:r>
    </w:p>
    <w:p w:rsidR="0052748F" w:rsidRDefault="0052748F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52748F" w:rsidRDefault="0052748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52748F" w:rsidRDefault="0052748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  <w:proofErr w:type="gramEnd"/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  <w:proofErr w:type="gramEnd"/>
    </w:p>
    <w:p w:rsidR="0052748F" w:rsidRDefault="0052748F">
      <w:pPr>
        <w:pStyle w:val="changeadd"/>
        <w:rPr>
          <w:color w:val="000000"/>
        </w:rPr>
      </w:pPr>
      <w:proofErr w:type="gramStart"/>
      <w:r>
        <w:rPr>
          <w:color w:val="000000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г.;</w:t>
      </w:r>
    </w:p>
    <w:p w:rsidR="0052748F" w:rsidRDefault="005274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preamble"/>
        <w:rPr>
          <w:color w:val="000000"/>
        </w:rPr>
      </w:pPr>
      <w:r>
        <w:rPr>
          <w:color w:val="000000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52748F" w:rsidRDefault="0052748F">
      <w:pPr>
        <w:pStyle w:val="point"/>
        <w:rPr>
          <w:color w:val="000000"/>
        </w:rPr>
      </w:pPr>
      <w:bookmarkStart w:id="1" w:name="a10"/>
      <w:bookmarkEnd w:id="1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52748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748F" w:rsidRDefault="0052748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748F" w:rsidRDefault="0052748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52748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52748F" w:rsidRDefault="0052748F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52748F" w:rsidRDefault="0052748F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lastRenderedPageBreak/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52748F" w:rsidRDefault="0052748F">
      <w:pPr>
        <w:pStyle w:val="point"/>
        <w:rPr>
          <w:color w:val="000000"/>
        </w:rPr>
      </w:pPr>
      <w:bookmarkStart w:id="3" w:name="a34"/>
      <w:bookmarkEnd w:id="3"/>
      <w:r>
        <w:rPr>
          <w:color w:val="000000"/>
        </w:rP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52748F" w:rsidRDefault="0052748F">
      <w:pPr>
        <w:pStyle w:val="point"/>
        <w:rPr>
          <w:color w:val="000000"/>
        </w:rPr>
      </w:pPr>
      <w:bookmarkStart w:id="4" w:name="a38"/>
      <w:bookmarkEnd w:id="4"/>
      <w:r>
        <w:rPr>
          <w:color w:val="000000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52748F" w:rsidRDefault="0052748F">
      <w:pPr>
        <w:pStyle w:val="newncpi"/>
        <w:rPr>
          <w:color w:val="000000"/>
        </w:rPr>
      </w:pPr>
      <w:bookmarkStart w:id="5" w:name="a36"/>
      <w:bookmarkEnd w:id="5"/>
      <w:proofErr w:type="gramStart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52748F" w:rsidRDefault="0052748F">
      <w:pPr>
        <w:pStyle w:val="newncpi"/>
        <w:rPr>
          <w:color w:val="000000"/>
        </w:rPr>
      </w:pPr>
      <w:bookmarkStart w:id="6" w:name="a47"/>
      <w:bookmarkEnd w:id="6"/>
      <w:r>
        <w:rPr>
          <w:color w:val="000000"/>
        </w:rP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 Декрета Президента Республики Беларусь от 2 апреля 2015 г. № 3.</w:t>
      </w:r>
    </w:p>
    <w:p w:rsidR="0052748F" w:rsidRDefault="0052748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52748F" w:rsidRDefault="0052748F">
      <w:pPr>
        <w:pStyle w:val="snoski"/>
        <w:rPr>
          <w:color w:val="000000"/>
        </w:rPr>
      </w:pPr>
      <w:bookmarkStart w:id="7" w:name="a4"/>
      <w:bookmarkEnd w:id="7"/>
      <w:proofErr w:type="gramStart"/>
      <w:r>
        <w:rPr>
          <w:color w:val="000000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52748F" w:rsidRDefault="0052748F">
      <w:pPr>
        <w:pStyle w:val="snoski"/>
        <w:spacing w:after="120"/>
        <w:rPr>
          <w:color w:val="000000"/>
        </w:rPr>
      </w:pPr>
      <w:bookmarkStart w:id="8" w:name="a46"/>
      <w:bookmarkEnd w:id="8"/>
      <w:r>
        <w:rPr>
          <w:color w:val="000000"/>
        </w:rPr>
        <w:t xml:space="preserve"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</w:t>
      </w:r>
      <w:proofErr w:type="gramStart"/>
      <w:r>
        <w:rPr>
          <w:color w:val="000000"/>
        </w:rPr>
        <w:t>списков</w:t>
      </w:r>
      <w:proofErr w:type="gramEnd"/>
      <w:r>
        <w:rPr>
          <w:color w:val="000000"/>
        </w:rPr>
        <w:t xml:space="preserve"> на получение льготных кредитов.</w:t>
      </w:r>
    </w:p>
    <w:p w:rsidR="0052748F" w:rsidRDefault="0052748F">
      <w:pPr>
        <w:pStyle w:val="point"/>
        <w:rPr>
          <w:color w:val="000000"/>
        </w:rPr>
      </w:pPr>
      <w:bookmarkStart w:id="9" w:name="a24"/>
      <w:bookmarkEnd w:id="9"/>
      <w:r>
        <w:rPr>
          <w:color w:val="000000"/>
        </w:rPr>
        <w:t>5. Для реализации возложенных задач комиссия имеет право: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принимать решения*** для целей предоставления</w:t>
      </w:r>
      <w:proofErr w:type="gramEnd"/>
      <w:r>
        <w:rPr>
          <w:color w:val="000000"/>
        </w:rPr>
        <w:t xml:space="preserve"> льготных кредитов, одноразовых субсидий о признании граждан и (или) трудоспособных членов их семей****: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относящимися</w:t>
      </w:r>
      <w:proofErr w:type="gramEnd"/>
      <w:r>
        <w:rPr>
          <w:color w:val="000000"/>
        </w:rPr>
        <w:t xml:space="preserve">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52748F" w:rsidRDefault="0052748F">
      <w:pPr>
        <w:pStyle w:val="newncpi"/>
        <w:rPr>
          <w:color w:val="000000"/>
        </w:rPr>
      </w:pPr>
      <w:bookmarkStart w:id="10" w:name="a25"/>
      <w:bookmarkEnd w:id="10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rPr>
          <w:color w:val="000000"/>
        </w:rPr>
        <w:t xml:space="preserve"> постановлением Совета Министров Республики Беларусь от 31 марта 2018 г. № 239;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>
        <w:rPr>
          <w:color w:val="000000"/>
        </w:rP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</w:t>
      </w:r>
      <w:r>
        <w:rPr>
          <w:color w:val="000000"/>
        </w:rPr>
        <w:lastRenderedPageBreak/>
        <w:t>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rPr>
          <w:color w:val="000000"/>
        </w:rPr>
        <w:t xml:space="preserve"> таких списков;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52748F" w:rsidRDefault="0052748F">
      <w:pPr>
        <w:pStyle w:val="newncpi"/>
        <w:rPr>
          <w:color w:val="000000"/>
        </w:rPr>
      </w:pPr>
      <w:bookmarkStart w:id="11" w:name="a26"/>
      <w:bookmarkEnd w:id="11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52748F" w:rsidRDefault="0052748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52748F" w:rsidRDefault="0052748F">
      <w:pPr>
        <w:pStyle w:val="snoski"/>
        <w:rPr>
          <w:color w:val="000000"/>
        </w:rPr>
      </w:pPr>
      <w:bookmarkStart w:id="12" w:name="a49"/>
      <w:bookmarkEnd w:id="12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52748F" w:rsidRDefault="0052748F">
      <w:pPr>
        <w:pStyle w:val="snoski"/>
        <w:spacing w:after="120"/>
        <w:rPr>
          <w:color w:val="000000"/>
        </w:rPr>
      </w:pPr>
      <w:bookmarkStart w:id="13" w:name="a50"/>
      <w:bookmarkEnd w:id="13"/>
      <w:r>
        <w:rPr>
          <w:color w:val="000000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52748F" w:rsidRDefault="0052748F">
      <w:pPr>
        <w:pStyle w:val="point"/>
        <w:rPr>
          <w:color w:val="000000"/>
        </w:rPr>
      </w:pPr>
      <w:bookmarkStart w:id="14" w:name="a44"/>
      <w:bookmarkEnd w:id="14"/>
      <w:r>
        <w:rPr>
          <w:color w:val="000000"/>
        </w:rPr>
        <w:t>6. В состав комиссии входят председатель комиссии, его заместитель, секретарь и иные члены комиссии.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52748F" w:rsidRDefault="0052748F">
      <w:pPr>
        <w:pStyle w:val="newncpi"/>
        <w:rPr>
          <w:color w:val="000000"/>
        </w:rPr>
      </w:pPr>
      <w:bookmarkStart w:id="15" w:name="a40"/>
      <w:bookmarkEnd w:id="15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должность секретаря комиссии не вводится, соответствующие функции возлагаются на иного члена комиссии.</w:t>
      </w:r>
    </w:p>
    <w:p w:rsidR="0052748F" w:rsidRDefault="0052748F">
      <w:pPr>
        <w:pStyle w:val="point"/>
        <w:rPr>
          <w:color w:val="000000"/>
        </w:rPr>
      </w:pPr>
      <w:bookmarkStart w:id="16" w:name="a12"/>
      <w:bookmarkEnd w:id="16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председателя комиссии.</w:t>
      </w:r>
    </w:p>
    <w:p w:rsidR="0052748F" w:rsidRDefault="0052748F">
      <w:pPr>
        <w:pStyle w:val="point"/>
        <w:rPr>
          <w:color w:val="000000"/>
        </w:rPr>
      </w:pPr>
      <w:bookmarkStart w:id="17" w:name="a33"/>
      <w:bookmarkEnd w:id="17"/>
      <w:r>
        <w:rPr>
          <w:color w:val="000000"/>
        </w:rPr>
        <w:t>8. Секретарь комиссии: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относящимся к деятельности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lastRenderedPageBreak/>
        <w:t>ведет делопроизводство в комиссии;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 xml:space="preserve">Решение считается принятым, если за него проголосовало более половины членов комиссии, присутствовавших на заседании.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голосов принятым считается решение, за которое проголосовал председательствующий на заседании комиссии.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 xml:space="preserve">13. В </w:t>
      </w:r>
      <w:proofErr w:type="gramStart"/>
      <w:r>
        <w:rPr>
          <w:color w:val="000000"/>
        </w:rPr>
        <w:t>протоколе</w:t>
      </w:r>
      <w:proofErr w:type="gramEnd"/>
      <w:r>
        <w:rPr>
          <w:color w:val="000000"/>
        </w:rPr>
        <w:t xml:space="preserve"> заседания комиссии указываются: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 xml:space="preserve">16. Для формирования списка трудоспособных граждан, не занятых в экономике, оплачивающих услуги с возмещением затрат, на очередной квартал для целей </w:t>
      </w:r>
      <w:r>
        <w:rPr>
          <w:color w:val="000000"/>
        </w:rPr>
        <w:lastRenderedPageBreak/>
        <w:t>предоставления льготных кредитов, одноразовых субсидий комиссией используется база данных.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52748F" w:rsidRDefault="0052748F">
      <w:pPr>
        <w:pStyle w:val="point"/>
        <w:rPr>
          <w:color w:val="000000"/>
        </w:rPr>
      </w:pPr>
      <w:bookmarkStart w:id="18" w:name="a27"/>
      <w:bookmarkEnd w:id="18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52748F" w:rsidRDefault="0052748F">
      <w:pPr>
        <w:pStyle w:val="point"/>
        <w:rPr>
          <w:color w:val="000000"/>
        </w:rPr>
      </w:pPr>
      <w:bookmarkStart w:id="19" w:name="a28"/>
      <w:bookmarkEnd w:id="19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52748F" w:rsidRDefault="0052748F">
      <w:pPr>
        <w:pStyle w:val="newncpi"/>
        <w:rPr>
          <w:color w:val="000000"/>
        </w:rPr>
      </w:pPr>
      <w:bookmarkStart w:id="20" w:name="a31"/>
      <w:bookmarkEnd w:id="20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52748F" w:rsidRDefault="0052748F">
      <w:pPr>
        <w:pStyle w:val="newncpi"/>
        <w:rPr>
          <w:color w:val="000000"/>
        </w:rPr>
      </w:pPr>
      <w:bookmarkStart w:id="21" w:name="a41"/>
      <w:bookmarkEnd w:id="21"/>
      <w:proofErr w:type="gramStart"/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rPr>
          <w:color w:val="000000"/>
        </w:rPr>
        <w:t xml:space="preserve"> (далее – </w:t>
      </w:r>
      <w:proofErr w:type="spellStart"/>
      <w:r>
        <w:rPr>
          <w:color w:val="000000"/>
        </w:rPr>
        <w:t>АИС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 xml:space="preserve"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</w:t>
      </w:r>
      <w:r>
        <w:rPr>
          <w:color w:val="000000"/>
        </w:rPr>
        <w:lastRenderedPageBreak/>
        <w:t>Государственной системы управления открытыми ключами проверки электронной цифровой подписи Республики Беларусь;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52748F" w:rsidRDefault="0052748F">
      <w:pPr>
        <w:pStyle w:val="newncpi"/>
        <w:rPr>
          <w:color w:val="000000"/>
        </w:rPr>
      </w:pPr>
      <w:bookmarkStart w:id="22" w:name="a42"/>
      <w:bookmarkEnd w:id="22"/>
      <w:proofErr w:type="gramStart"/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>
        <w:rPr>
          <w:color w:val="000000"/>
        </w:rPr>
        <w:t>АИС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rPr>
          <w:color w:val="000000"/>
        </w:rPr>
        <w:t xml:space="preserve"> и начисление платы за жилищно-коммунальные услуги и платы за пользование жилым помещением.</w:t>
      </w:r>
    </w:p>
    <w:p w:rsidR="0052748F" w:rsidRDefault="0052748F">
      <w:pPr>
        <w:pStyle w:val="point"/>
        <w:rPr>
          <w:color w:val="000000"/>
        </w:rPr>
      </w:pPr>
      <w:bookmarkStart w:id="23" w:name="a30"/>
      <w:bookmarkEnd w:id="23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  <w:proofErr w:type="gramEnd"/>
    </w:p>
    <w:p w:rsidR="0052748F" w:rsidRDefault="0052748F">
      <w:pPr>
        <w:pStyle w:val="newncpi"/>
        <w:rPr>
          <w:color w:val="000000"/>
        </w:rPr>
      </w:pPr>
      <w:bookmarkStart w:id="24" w:name="a43"/>
      <w:bookmarkEnd w:id="24"/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52748F" w:rsidRDefault="0052748F">
      <w:pPr>
        <w:pStyle w:val="newncpi"/>
        <w:rPr>
          <w:color w:val="000000"/>
        </w:rPr>
      </w:pPr>
      <w:proofErr w:type="gramStart"/>
      <w:r>
        <w:rPr>
          <w:color w:val="000000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>
        <w:rPr>
          <w:color w:val="000000"/>
        </w:rPr>
        <w:t>АИС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>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>
        <w:rPr>
          <w:color w:val="000000"/>
        </w:rPr>
        <w:t> платы за пользование жилым помещением.</w:t>
      </w:r>
    </w:p>
    <w:p w:rsidR="0052748F" w:rsidRDefault="0052748F">
      <w:pPr>
        <w:pStyle w:val="point"/>
        <w:rPr>
          <w:color w:val="000000"/>
        </w:rPr>
      </w:pPr>
      <w:bookmarkStart w:id="25" w:name="a32"/>
      <w:bookmarkEnd w:id="25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52748F" w:rsidRDefault="0052748F">
      <w:pPr>
        <w:pStyle w:val="point"/>
        <w:rPr>
          <w:color w:val="000000"/>
        </w:rPr>
      </w:pPr>
      <w:bookmarkStart w:id="26" w:name="a14"/>
      <w:bookmarkEnd w:id="26"/>
      <w:r>
        <w:rPr>
          <w:color w:val="000000"/>
        </w:rP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52748F" w:rsidRDefault="0052748F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rPr>
          <w:rFonts w:ascii="Arial" w:eastAsia="Times New Roman" w:hAnsi="Arial" w:cs="Arial"/>
          <w:color w:val="000000"/>
          <w:sz w:val="23"/>
          <w:szCs w:val="23"/>
        </w:rPr>
        <w:sectPr w:rsidR="0052748F" w:rsidSect="00336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52748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append1"/>
              <w:rPr>
                <w:color w:val="000000"/>
              </w:rPr>
            </w:pPr>
            <w:bookmarkStart w:id="27" w:name="a45"/>
            <w:bookmarkEnd w:id="27"/>
            <w:r>
              <w:rPr>
                <w:color w:val="000000"/>
              </w:rPr>
              <w:t>Приложение 1</w:t>
            </w:r>
          </w:p>
          <w:p w:rsidR="0052748F" w:rsidRDefault="005274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52748F" w:rsidRDefault="0052748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onestring"/>
        <w:rPr>
          <w:color w:val="000000"/>
        </w:rPr>
      </w:pPr>
      <w:bookmarkStart w:id="28" w:name="a11"/>
      <w:bookmarkEnd w:id="28"/>
      <w:r>
        <w:rPr>
          <w:color w:val="000000"/>
        </w:rPr>
        <w:t>Форма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52748F" w:rsidRDefault="0052748F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52748F" w:rsidRDefault="0052748F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52748F" w:rsidRDefault="0052748F">
      <w:pPr>
        <w:pStyle w:val="undline"/>
        <w:ind w:left="6096"/>
        <w:rPr>
          <w:color w:val="000000"/>
        </w:rPr>
      </w:pPr>
      <w:r>
        <w:rPr>
          <w:color w:val="000000"/>
        </w:rPr>
        <w:t xml:space="preserve">(когда и 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)</w:t>
      </w:r>
    </w:p>
    <w:p w:rsidR="0052748F" w:rsidRDefault="0052748F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</w:t>
      </w:r>
      <w:proofErr w:type="gramEnd"/>
      <w:r>
        <w:rPr>
          <w:color w:val="000000"/>
        </w:rPr>
        <w:t xml:space="preserve"> по адресу: _____________________________________________________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Прошу освободить меня (члена моей семьи) __________________________________</w:t>
      </w:r>
    </w:p>
    <w:p w:rsidR="0052748F" w:rsidRDefault="0052748F">
      <w:pPr>
        <w:pStyle w:val="undline"/>
        <w:ind w:left="6521"/>
        <w:rPr>
          <w:color w:val="000000"/>
        </w:rPr>
      </w:pPr>
      <w:proofErr w:type="gramStart"/>
      <w:r>
        <w:rPr>
          <w:color w:val="000000"/>
        </w:rPr>
        <w:t>(фамилия,</w:t>
      </w:r>
      <w:proofErr w:type="gramEnd"/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lastRenderedPageBreak/>
        <w:t>Число, месяц, год рождения 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52748F" w:rsidRDefault="0052748F">
      <w:pPr>
        <w:pStyle w:val="undline"/>
        <w:ind w:left="5812"/>
        <w:rPr>
          <w:color w:val="000000"/>
        </w:rPr>
      </w:pPr>
      <w:r>
        <w:rPr>
          <w:color w:val="000000"/>
        </w:rPr>
        <w:t xml:space="preserve">(когда и 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)</w:t>
      </w:r>
    </w:p>
    <w:p w:rsidR="0052748F" w:rsidRDefault="0052748F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</w:t>
      </w:r>
      <w:proofErr w:type="gramEnd"/>
      <w:r>
        <w:rPr>
          <w:color w:val="000000"/>
        </w:rPr>
        <w:t xml:space="preserve"> по адресу: 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9"/>
        <w:gridCol w:w="3693"/>
      </w:tblGrid>
      <w:tr w:rsidR="0052748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52748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52748F" w:rsidRDefault="0052748F">
      <w:pPr>
        <w:pStyle w:val="newncpi0"/>
        <w:rPr>
          <w:color w:val="000000"/>
        </w:rPr>
      </w:pPr>
      <w:proofErr w:type="gramStart"/>
      <w:r>
        <w:rPr>
          <w:color w:val="000000"/>
        </w:rPr>
        <w:t>принявший</w:t>
      </w:r>
      <w:proofErr w:type="gramEnd"/>
      <w:r>
        <w:rPr>
          <w:color w:val="000000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8"/>
        <w:gridCol w:w="5554"/>
      </w:tblGrid>
      <w:tr w:rsidR="0052748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52748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52748F" w:rsidRDefault="0052748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68"/>
        <w:gridCol w:w="2804"/>
      </w:tblGrid>
      <w:tr w:rsidR="0052748F"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append1"/>
              <w:rPr>
                <w:color w:val="000000"/>
              </w:rPr>
            </w:pPr>
            <w:bookmarkStart w:id="29" w:name="a48"/>
            <w:bookmarkEnd w:id="29"/>
            <w:r>
              <w:rPr>
                <w:color w:val="000000"/>
              </w:rPr>
              <w:t>Приложение 2</w:t>
            </w:r>
          </w:p>
          <w:p w:rsidR="0052748F" w:rsidRDefault="005274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br/>
              <w:t xml:space="preserve">о постоянно действующей </w:t>
            </w:r>
            <w:r>
              <w:rPr>
                <w:color w:val="000000"/>
              </w:rPr>
              <w:br/>
              <w:t xml:space="preserve">комиссии по координации </w:t>
            </w:r>
            <w:r>
              <w:rPr>
                <w:color w:val="000000"/>
              </w:rPr>
              <w:br/>
              <w:t xml:space="preserve">работы по содействию </w:t>
            </w:r>
            <w:r>
              <w:rPr>
                <w:color w:val="000000"/>
              </w:rPr>
              <w:br/>
              <w:t xml:space="preserve">занятости населения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13.06.2025 № 328) </w:t>
            </w:r>
          </w:p>
        </w:tc>
      </w:tr>
    </w:tbl>
    <w:p w:rsidR="0052748F" w:rsidRDefault="0052748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52748F" w:rsidRDefault="0052748F">
      <w:pPr>
        <w:pStyle w:val="titlep"/>
        <w:rPr>
          <w:color w:val="000000"/>
        </w:rPr>
      </w:pPr>
      <w:r>
        <w:rPr>
          <w:color w:val="000000"/>
        </w:rPr>
        <w:lastRenderedPageBreak/>
        <w:t>ЗАПРОС</w:t>
      </w:r>
    </w:p>
    <w:p w:rsidR="0052748F" w:rsidRDefault="0052748F">
      <w:pPr>
        <w:pStyle w:val="newncpi0"/>
        <w:ind w:left="5418"/>
        <w:rPr>
          <w:color w:val="000000"/>
        </w:rPr>
      </w:pPr>
      <w:r>
        <w:rPr>
          <w:color w:val="000000"/>
        </w:rPr>
        <w:t>Председателю постоянно</w:t>
      </w:r>
    </w:p>
    <w:p w:rsidR="0052748F" w:rsidRDefault="0052748F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действующей комиссии </w:t>
      </w:r>
    </w:p>
    <w:p w:rsidR="0052748F" w:rsidRDefault="0052748F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по координации работы </w:t>
      </w:r>
    </w:p>
    <w:p w:rsidR="0052748F" w:rsidRDefault="0052748F">
      <w:pPr>
        <w:pStyle w:val="newncpi0"/>
        <w:ind w:left="5418"/>
        <w:rPr>
          <w:color w:val="000000"/>
        </w:rPr>
      </w:pPr>
      <w:r>
        <w:rPr>
          <w:color w:val="000000"/>
        </w:rPr>
        <w:t>по содействию занятости населения</w:t>
      </w:r>
    </w:p>
    <w:p w:rsidR="0052748F" w:rsidRDefault="0052748F">
      <w:pPr>
        <w:pStyle w:val="newncpi0"/>
        <w:ind w:left="5418"/>
        <w:rPr>
          <w:color w:val="000000"/>
        </w:rPr>
      </w:pPr>
      <w:r>
        <w:rPr>
          <w:color w:val="000000"/>
        </w:rPr>
        <w:t>________________________________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</w:t>
      </w:r>
      <w:proofErr w:type="gramEnd"/>
      <w:r>
        <w:rPr>
          <w:color w:val="000000"/>
        </w:rPr>
        <w:t xml:space="preserve"> на получение льготных кредитов)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52748F" w:rsidRDefault="0052748F">
      <w:pPr>
        <w:pStyle w:val="undline"/>
        <w:ind w:left="2813"/>
        <w:rPr>
          <w:color w:val="000000"/>
        </w:rPr>
      </w:pPr>
      <w:proofErr w:type="gramStart"/>
      <w:r>
        <w:rPr>
          <w:color w:val="000000"/>
        </w:rPr>
        <w:t xml:space="preserve">(фамилия, собственное имя, отчество (если таковое имеется), число, месяц, </w:t>
      </w:r>
      <w:proofErr w:type="gramEnd"/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получателя одноразовой субсидии и (или) льготного кредита,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документа, удостоверяющего личность, серия, номер, когда и кем выдан)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(члена семьи) _________________________________________________________________</w:t>
      </w:r>
    </w:p>
    <w:p w:rsidR="0052748F" w:rsidRDefault="0052748F">
      <w:pPr>
        <w:pStyle w:val="undline"/>
        <w:ind w:left="1442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число, месяц,</w:t>
      </w:r>
      <w:proofErr w:type="gramEnd"/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трудоспособного члена семьи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получателя одноразовой субсидии и (или) льготного кредита)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52748F" w:rsidRDefault="0052748F">
      <w:pPr>
        <w:pStyle w:val="undline"/>
        <w:jc w:val="center"/>
        <w:rPr>
          <w:color w:val="000000"/>
        </w:rPr>
      </w:pPr>
      <w:r>
        <w:rPr>
          <w:color w:val="000000"/>
        </w:rPr>
        <w:t>(дата подачи заявления)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8"/>
        <w:gridCol w:w="251"/>
        <w:gridCol w:w="1162"/>
        <w:gridCol w:w="266"/>
        <w:gridCol w:w="5425"/>
      </w:tblGrid>
      <w:tr w:rsidR="0052748F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748F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48F" w:rsidRDefault="0052748F">
            <w:pPr>
              <w:pStyle w:val="undline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(фамилия, собственное имя, отчество (если таковое имеется)</w:t>
            </w:r>
            <w:proofErr w:type="gramEnd"/>
          </w:p>
        </w:tc>
      </w:tr>
    </w:tbl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</w:p>
    <w:p w:rsidR="0052748F" w:rsidRDefault="0052748F">
      <w:pPr>
        <w:pStyle w:val="undline"/>
        <w:ind w:left="1302"/>
        <w:rPr>
          <w:color w:val="000000"/>
        </w:rPr>
      </w:pPr>
      <w:r>
        <w:rPr>
          <w:color w:val="000000"/>
        </w:rPr>
        <w:t>(дата)</w:t>
      </w:r>
    </w:p>
    <w:p w:rsidR="0052748F" w:rsidRDefault="0052748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52748F" w:rsidRDefault="0052748F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2748F" w:rsidSect="005274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48F"/>
    <w:rsid w:val="0052748F"/>
    <w:rsid w:val="00A35536"/>
    <w:rsid w:val="00B61998"/>
    <w:rsid w:val="00C9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52748F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52748F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52748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2748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52748F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2748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52748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2748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2748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2748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2748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52748F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52748F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2748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52748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52748F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52748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2748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2748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52748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2748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52748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2748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274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2748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2748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2748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4633</Words>
  <Characters>26409</Characters>
  <Application>Microsoft Office Word</Application>
  <DocSecurity>0</DocSecurity>
  <Lines>220</Lines>
  <Paragraphs>61</Paragraphs>
  <ScaleCrop>false</ScaleCrop>
  <Company/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2025-09-17T13:01:00Z</dcterms:created>
  <dcterms:modified xsi:type="dcterms:W3CDTF">2025-09-17T13:01:00Z</dcterms:modified>
</cp:coreProperties>
</file>