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bookmarkStart w:id="0" w:name="_GoBack"/>
      <w:bookmarkEnd w:id="0"/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EE5C51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:rsidR="007270FB" w:rsidRPr="00FD7446" w:rsidRDefault="00EE5C51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 w:rsidRPr="00174DD5">
        <w:rPr>
          <w:rFonts w:ascii="Times New Roman" w:hAnsi="Times New Roman"/>
          <w:bCs/>
          <w:spacing w:val="-18"/>
          <w:sz w:val="30"/>
          <w:szCs w:val="30"/>
        </w:rPr>
        <w:t xml:space="preserve">(в ред. постановления </w:t>
      </w:r>
      <w:proofErr w:type="spellStart"/>
      <w:r w:rsidRPr="00174DD5">
        <w:rPr>
          <w:rFonts w:ascii="Times New Roman" w:hAnsi="Times New Roman"/>
          <w:bCs/>
          <w:spacing w:val="-18"/>
          <w:sz w:val="30"/>
          <w:szCs w:val="30"/>
        </w:rPr>
        <w:t>Белстата</w:t>
      </w:r>
      <w:proofErr w:type="spellEnd"/>
      <w:r>
        <w:rPr>
          <w:rFonts w:ascii="Times New Roman" w:hAnsi="Times New Roman"/>
          <w:bCs/>
          <w:spacing w:val="-18"/>
          <w:sz w:val="30"/>
          <w:szCs w:val="30"/>
        </w:rPr>
        <w:br/>
      </w:r>
      <w:r w:rsidRPr="00174DD5">
        <w:rPr>
          <w:rFonts w:ascii="Times New Roman" w:hAnsi="Times New Roman"/>
          <w:bCs/>
          <w:spacing w:val="-18"/>
          <w:sz w:val="30"/>
          <w:szCs w:val="30"/>
        </w:rPr>
        <w:t xml:space="preserve"> от</w:t>
      </w:r>
      <w:r>
        <w:rPr>
          <w:rFonts w:ascii="Times New Roman" w:hAnsi="Times New Roman"/>
          <w:bCs/>
          <w:spacing w:val="-18"/>
          <w:sz w:val="30"/>
          <w:szCs w:val="30"/>
        </w:rPr>
        <w:t xml:space="preserve"> </w:t>
      </w:r>
      <w:r w:rsidRPr="00174DD5">
        <w:rPr>
          <w:rFonts w:ascii="Times New Roman" w:hAnsi="Times New Roman"/>
          <w:bCs/>
          <w:spacing w:val="-18"/>
          <w:sz w:val="30"/>
          <w:szCs w:val="30"/>
        </w:rPr>
        <w:t>11.10.2023 № 129)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87"/>
      </w:tblGrid>
      <w:tr w:rsidR="00901F14" w:rsidRPr="00FD7446" w:rsidTr="00901F14">
        <w:tc>
          <w:tcPr>
            <w:tcW w:w="4926" w:type="dxa"/>
          </w:tcPr>
          <w:p w:rsidR="00901F14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  <w:p w:rsidR="00DA6F55" w:rsidRPr="00174DD5" w:rsidRDefault="00DA6F55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pacing w:val="-18"/>
                <w:sz w:val="30"/>
                <w:szCs w:val="30"/>
              </w:rPr>
            </w:pPr>
          </w:p>
        </w:tc>
        <w:tc>
          <w:tcPr>
            <w:tcW w:w="4927" w:type="dxa"/>
          </w:tcPr>
          <w:p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66"/>
      <w:bookmarkStart w:id="2" w:name="Par469"/>
      <w:bookmarkEnd w:id="1"/>
      <w:bookmarkEnd w:id="2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OLE_LINK1"/>
      <w:bookmarkStart w:id="4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3"/>
      <w:bookmarkEnd w:id="4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структуре которых имеются подразделения,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структуре которых имеются подразделения, 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место нахождения 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8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:rsidR="00426441" w:rsidRPr="00FD7446" w:rsidRDefault="00205FC1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41248F" w:rsidRPr="00FD7446" w:rsidRDefault="007C46E1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Отчет </w:t>
      </w:r>
      <w:r w:rsidR="00586F99" w:rsidRPr="00586F99">
        <w:rPr>
          <w:rFonts w:ascii="Times New Roman" w:hAnsi="Times New Roman"/>
          <w:sz w:val="30"/>
          <w:szCs w:val="30"/>
          <w:lang w:eastAsia="ru-RU"/>
        </w:rPr>
        <w:t xml:space="preserve">заполняется на основании данных журнала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(форма ПОД-6) и журнала учета </w:t>
      </w:r>
      <w:r w:rsidR="00586F99" w:rsidRPr="00586F99">
        <w:rPr>
          <w:rFonts w:ascii="Times New Roman" w:hAnsi="Times New Roman"/>
          <w:sz w:val="30"/>
          <w:szCs w:val="30"/>
          <w:lang w:eastAsia="ru-RU"/>
        </w:rPr>
        <w:lastRenderedPageBreak/>
        <w:t xml:space="preserve">добываемых подземных вод, изымаемых поверхностных вод и сточных вод, сбрасываемых в окружающую среду </w:t>
      </w:r>
      <w:proofErr w:type="spellStart"/>
      <w:r w:rsidR="00586F99" w:rsidRPr="00586F99">
        <w:rPr>
          <w:rFonts w:ascii="Times New Roman" w:hAnsi="Times New Roman"/>
          <w:sz w:val="30"/>
          <w:szCs w:val="30"/>
          <w:lang w:eastAsia="ru-RU"/>
        </w:rPr>
        <w:t>неинструментальным</w:t>
      </w:r>
      <w:proofErr w:type="spellEnd"/>
      <w:r w:rsidR="00586F99" w:rsidRPr="00586F99">
        <w:rPr>
          <w:rFonts w:ascii="Times New Roman" w:hAnsi="Times New Roman"/>
          <w:sz w:val="30"/>
          <w:szCs w:val="30"/>
          <w:lang w:eastAsia="ru-RU"/>
        </w:rPr>
        <w:t xml:space="preserve"> (расчетным) методом (форма ПОД-7) согласно приложению 5 к экологическим нормам и правилам ЭкоНиП 17.01.06-001-2017 "Охрана окружающей среды и природопользование. Требования экологической безопасности", утвержденным постановлением Министерства природных ресурсов и охраны окружающей среды Республики Беларусь от 18 июля 2017 г. N 5-Т, других первичных учетных и иных документов</w:t>
      </w:r>
      <w:r w:rsidR="00CE3ECB" w:rsidRPr="00FD7446">
        <w:rPr>
          <w:rFonts w:ascii="Times New Roman" w:hAnsi="Times New Roman"/>
          <w:sz w:val="30"/>
          <w:szCs w:val="30"/>
        </w:rPr>
        <w:t>.</w:t>
      </w:r>
    </w:p>
    <w:p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Данные отчета в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об одиночных буровых скважинах, расположенных на территории одной административно-территориальной единицы и 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t>определяемый по мощности насосного оборудования, перекачивающего 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</w:p>
    <w:p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другие водные объекты, специально созданные для этих целей. К оборотному водоснабжению не относятся также расходы циркуляционной воды в системах теплоснабжения.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осуществляющими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системах дождевой канализации которых образуются поверхностные сточные воды.</w:t>
      </w:r>
    </w:p>
    <w:p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Информация о присвоенном коде водопользователя по ГВК 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9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</w:t>
      </w:r>
      <w:r w:rsidRPr="00FD7446">
        <w:rPr>
          <w:rFonts w:ascii="Times New Roman" w:hAnsi="Times New Roman"/>
          <w:sz w:val="30"/>
          <w:szCs w:val="30"/>
        </w:rPr>
        <w:lastRenderedPageBreak/>
        <w:t>отдельных строках.</w:t>
      </w:r>
    </w:p>
    <w:p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 А</w:t>
      </w:r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t xml:space="preserve">в графе Б – его десятизначный код по общегосударственному </w:t>
      </w:r>
      <w:hyperlink r:id="rId10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>Система 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A46A3" w:rsidRPr="00FD7446" w:rsidTr="00F04271">
        <w:tc>
          <w:tcPr>
            <w:tcW w:w="9853" w:type="dxa"/>
          </w:tcPr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ГЛАВА 3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</w:t>
      </w:r>
      <w:r w:rsidRPr="00FD7446">
        <w:rPr>
          <w:rFonts w:ascii="Times New Roman" w:hAnsi="Times New Roman"/>
          <w:sz w:val="30"/>
          <w:szCs w:val="30"/>
        </w:rPr>
        <w:lastRenderedPageBreak/>
        <w:t xml:space="preserve">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>вод, неорганизованно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lastRenderedPageBreak/>
        <w:t>в литрах в секунду.</w:t>
      </w:r>
    </w:p>
    <w:p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B2A82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r w:rsidRPr="00FD7446">
        <w:rPr>
          <w:rFonts w:ascii="Times New Roman" w:hAnsi="Times New Roman"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>-го загрязняющего вещества, 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lastRenderedPageBreak/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FD7446">
        <w:rPr>
          <w:rFonts w:ascii="Times New Roman" w:hAnsi="Times New Roman"/>
          <w:sz w:val="30"/>
          <w:szCs w:val="30"/>
        </w:rPr>
        <w:t>мгР</w:t>
      </w:r>
      <w:proofErr w:type="spellEnd"/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7"/>
        <w:gridCol w:w="2771"/>
      </w:tblGrid>
      <w:tr w:rsidR="008A4ECB" w:rsidRPr="00FD7446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:rsidR="00F15AF1" w:rsidRPr="00FD7446" w:rsidRDefault="00F15AF1" w:rsidP="00A96ABA">
      <w:pPr>
        <w:spacing w:after="0" w:line="240" w:lineRule="auto"/>
        <w:jc w:val="center"/>
      </w:pPr>
    </w:p>
    <w:p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очистных сооружений биологической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82" w:rsidRDefault="00AB2A82">
      <w:r>
        <w:separator/>
      </w:r>
    </w:p>
  </w:endnote>
  <w:endnote w:type="continuationSeparator" w:id="0">
    <w:p w:rsidR="00AB2A82" w:rsidRDefault="00A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82" w:rsidRDefault="00AB2A82">
      <w:r>
        <w:separator/>
      </w:r>
    </w:p>
  </w:footnote>
  <w:footnote w:type="continuationSeparator" w:id="0">
    <w:p w:rsidR="00AB2A82" w:rsidRDefault="00AB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Pr="0099141C" w:rsidRDefault="00814ABC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0A3FD6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:rsidR="00814ABC" w:rsidRDefault="00814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404745"/>
    <w:multiLevelType w:val="hybridMultilevel"/>
    <w:tmpl w:val="36A82F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977C6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246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4DD5"/>
    <w:rsid w:val="0017558E"/>
    <w:rsid w:val="0017563B"/>
    <w:rsid w:val="001762D4"/>
    <w:rsid w:val="001765A0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1B07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6560"/>
    <w:rsid w:val="002A7C2B"/>
    <w:rsid w:val="002B01C3"/>
    <w:rsid w:val="002B05EE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0FE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095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3D7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6F99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0D26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4042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0364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A82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2ADC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5386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A6F55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268C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C51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29645-6F30-4FF1-9881-CFD9AB6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uwr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CCC1-8FF2-4716-92CE-2914D585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26604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Елена Михайловна Мелешкова</cp:lastModifiedBy>
  <cp:revision>2</cp:revision>
  <cp:lastPrinted>2023-11-08T14:53:00Z</cp:lastPrinted>
  <dcterms:created xsi:type="dcterms:W3CDTF">2023-11-09T08:09:00Z</dcterms:created>
  <dcterms:modified xsi:type="dcterms:W3CDTF">2023-11-09T08:09:00Z</dcterms:modified>
</cp:coreProperties>
</file>